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3720AD" w:rsidRDefault="00623C2F">
      <w:pPr>
        <w:pStyle w:val="CommentText"/>
        <w:rPr>
          <w:noProof/>
          <w:sz w:val="24"/>
          <w:szCs w:val="24"/>
          <w:lang w:val="en-US"/>
        </w:rPr>
      </w:pPr>
    </w:p>
    <w:p w:rsidR="00623C2F" w:rsidRPr="003720AD" w:rsidRDefault="00623C2F">
      <w:pPr>
        <w:pStyle w:val="CommentText"/>
        <w:rPr>
          <w:noProof/>
          <w:sz w:val="24"/>
          <w:szCs w:val="24"/>
          <w:lang w:val="en-US"/>
        </w:rPr>
      </w:pPr>
    </w:p>
    <w:p w:rsidR="00623C2F" w:rsidRPr="003720AD" w:rsidRDefault="00623C2F">
      <w:pPr>
        <w:pStyle w:val="CommentText"/>
        <w:rPr>
          <w:noProof/>
          <w:sz w:val="24"/>
          <w:szCs w:val="24"/>
          <w:lang w:val="en-US"/>
        </w:rPr>
      </w:pPr>
    </w:p>
    <w:p w:rsidR="00F4367A" w:rsidRPr="003720AD" w:rsidRDefault="00302E67">
      <w:pPr>
        <w:pStyle w:val="CommentText"/>
        <w:rPr>
          <w:noProof/>
          <w:sz w:val="24"/>
          <w:szCs w:val="24"/>
          <w:lang w:val="en-US"/>
        </w:rPr>
      </w:pPr>
      <w:r>
        <w:rPr>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302E67">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60DAF" w:rsidRDefault="00302E67">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3720AD" w:rsidRDefault="00F4367A">
      <w:pPr>
        <w:jc w:val="right"/>
        <w:rPr>
          <w:b/>
          <w:bCs/>
        </w:rPr>
      </w:pPr>
    </w:p>
    <w:p w:rsidR="00F4367A" w:rsidRPr="003720AD" w:rsidRDefault="00F4367A">
      <w:pPr>
        <w:jc w:val="right"/>
      </w:pPr>
    </w:p>
    <w:p w:rsidR="00F4367A" w:rsidRPr="003720AD" w:rsidRDefault="00F4367A">
      <w:pPr>
        <w:tabs>
          <w:tab w:val="left" w:pos="2160"/>
        </w:tabs>
        <w:rPr>
          <w:b/>
          <w:bCs/>
          <w:u w:val="single"/>
        </w:rPr>
      </w:pPr>
      <w:r w:rsidRPr="003720AD">
        <w:rPr>
          <w:b/>
          <w:bCs/>
          <w:u w:val="single"/>
        </w:rPr>
        <w:t xml:space="preserve">                                                                           </w:t>
      </w:r>
    </w:p>
    <w:p w:rsidR="00F4367A" w:rsidRPr="003720AD" w:rsidRDefault="00F4367A">
      <w:pPr>
        <w:rPr>
          <w:b/>
          <w:bCs/>
        </w:rPr>
      </w:pPr>
    </w:p>
    <w:p w:rsidR="00F4367A" w:rsidRPr="003720AD" w:rsidRDefault="00F4367A">
      <w:pPr>
        <w:tabs>
          <w:tab w:val="left" w:pos="2160"/>
        </w:tabs>
        <w:rPr>
          <w:rFonts w:cs="Arial"/>
          <w:b/>
          <w:bCs/>
        </w:rPr>
      </w:pPr>
      <w:r w:rsidRPr="003720AD">
        <w:rPr>
          <w:rFonts w:cs="Arial"/>
          <w:b/>
          <w:bCs/>
        </w:rPr>
        <w:t xml:space="preserve">To: </w:t>
      </w:r>
      <w:r w:rsidR="0051489F" w:rsidRPr="003720AD">
        <w:rPr>
          <w:rFonts w:cs="Arial"/>
          <w:b/>
          <w:bCs/>
        </w:rPr>
        <w:t xml:space="preserve">The </w:t>
      </w:r>
      <w:r w:rsidR="00013F71" w:rsidRPr="003720AD">
        <w:rPr>
          <w:rFonts w:cs="Arial"/>
          <w:b/>
          <w:bCs/>
        </w:rPr>
        <w:t>Housing Panel</w:t>
      </w:r>
      <w:r w:rsidR="007A2032" w:rsidRPr="003720AD">
        <w:rPr>
          <w:rFonts w:cs="Arial"/>
          <w:b/>
          <w:bCs/>
        </w:rPr>
        <w:t xml:space="preserve"> </w:t>
      </w:r>
      <w:r w:rsidR="0051489F" w:rsidRPr="003720AD">
        <w:rPr>
          <w:rFonts w:cs="Arial"/>
          <w:b/>
          <w:bCs/>
        </w:rPr>
        <w:t>(Panel of the Scrutiny Committee)</w:t>
      </w:r>
    </w:p>
    <w:p w:rsidR="00F4367A" w:rsidRPr="003720AD" w:rsidRDefault="00F4367A">
      <w:pPr>
        <w:rPr>
          <w:rFonts w:cs="Arial"/>
          <w:b/>
          <w:bCs/>
        </w:rPr>
      </w:pPr>
    </w:p>
    <w:p w:rsidR="00F4367A" w:rsidRPr="003720AD" w:rsidRDefault="00F4367A">
      <w:pPr>
        <w:tabs>
          <w:tab w:val="left" w:pos="2160"/>
          <w:tab w:val="left" w:pos="6300"/>
          <w:tab w:val="left" w:pos="7380"/>
        </w:tabs>
        <w:rPr>
          <w:rFonts w:cs="Arial"/>
          <w:b/>
          <w:bCs/>
        </w:rPr>
      </w:pPr>
      <w:r w:rsidRPr="003720AD">
        <w:rPr>
          <w:rFonts w:cs="Arial"/>
          <w:b/>
          <w:bCs/>
        </w:rPr>
        <w:t>Date:</w:t>
      </w:r>
      <w:r w:rsidR="0051489F" w:rsidRPr="003720AD">
        <w:rPr>
          <w:rFonts w:cs="Arial"/>
          <w:b/>
          <w:bCs/>
        </w:rPr>
        <w:t xml:space="preserve"> </w:t>
      </w:r>
      <w:r w:rsidR="000034EC">
        <w:rPr>
          <w:rFonts w:cs="Arial"/>
          <w:b/>
          <w:bCs/>
        </w:rPr>
        <w:t>7</w:t>
      </w:r>
      <w:r w:rsidR="000034EC" w:rsidRPr="000034EC">
        <w:rPr>
          <w:rFonts w:cs="Arial"/>
          <w:b/>
          <w:bCs/>
          <w:vertAlign w:val="superscript"/>
        </w:rPr>
        <w:t>th</w:t>
      </w:r>
      <w:r w:rsidR="000034EC">
        <w:rPr>
          <w:rFonts w:cs="Arial"/>
          <w:b/>
          <w:bCs/>
        </w:rPr>
        <w:t xml:space="preserve"> July</w:t>
      </w:r>
      <w:r w:rsidR="0051489F" w:rsidRPr="003720AD">
        <w:rPr>
          <w:rFonts w:cs="Arial"/>
          <w:b/>
          <w:bCs/>
        </w:rPr>
        <w:t xml:space="preserve"> 2016</w:t>
      </w:r>
      <w:r w:rsidRPr="003720AD">
        <w:rPr>
          <w:rFonts w:cs="Arial"/>
          <w:b/>
          <w:bCs/>
        </w:rPr>
        <w:tab/>
        <w:t xml:space="preserve">   </w:t>
      </w:r>
      <w:r w:rsidRPr="003720AD">
        <w:rPr>
          <w:rFonts w:cs="Arial"/>
          <w:b/>
          <w:bCs/>
        </w:rPr>
        <w:tab/>
      </w:r>
    </w:p>
    <w:p w:rsidR="00F4367A" w:rsidRPr="003720AD" w:rsidRDefault="00F4367A">
      <w:pPr>
        <w:jc w:val="right"/>
        <w:rPr>
          <w:rFonts w:cs="Arial"/>
          <w:b/>
          <w:bCs/>
        </w:rPr>
      </w:pPr>
    </w:p>
    <w:p w:rsidR="00F4367A" w:rsidRPr="003720AD" w:rsidRDefault="00F4367A">
      <w:pPr>
        <w:rPr>
          <w:rFonts w:cs="Arial"/>
          <w:b/>
          <w:bCs/>
        </w:rPr>
      </w:pPr>
      <w:r w:rsidRPr="003720AD">
        <w:rPr>
          <w:rFonts w:cs="Arial"/>
          <w:b/>
          <w:bCs/>
        </w:rPr>
        <w:t>Report of:</w:t>
      </w:r>
      <w:r w:rsidR="009D53A2" w:rsidRPr="003720AD">
        <w:rPr>
          <w:rFonts w:cs="Arial"/>
          <w:b/>
          <w:bCs/>
        </w:rPr>
        <w:t xml:space="preserve"> Head of</w:t>
      </w:r>
      <w:r w:rsidR="009651B5" w:rsidRPr="003720AD">
        <w:rPr>
          <w:rFonts w:cs="Arial"/>
          <w:b/>
          <w:bCs/>
        </w:rPr>
        <w:t xml:space="preserve"> Housing and Property</w:t>
      </w:r>
    </w:p>
    <w:p w:rsidR="00F4367A" w:rsidRPr="003720AD" w:rsidRDefault="00F4367A">
      <w:pPr>
        <w:tabs>
          <w:tab w:val="left" w:pos="2160"/>
        </w:tabs>
        <w:rPr>
          <w:rFonts w:cs="Arial"/>
          <w:b/>
          <w:bCs/>
        </w:rPr>
      </w:pPr>
    </w:p>
    <w:p w:rsidR="00F4367A" w:rsidRPr="003720AD" w:rsidRDefault="00F4367A">
      <w:pPr>
        <w:tabs>
          <w:tab w:val="left" w:pos="2160"/>
        </w:tabs>
        <w:rPr>
          <w:rFonts w:cs="Arial"/>
          <w:b/>
          <w:bCs/>
        </w:rPr>
      </w:pPr>
      <w:r w:rsidRPr="003720AD">
        <w:rPr>
          <w:rFonts w:cs="Arial"/>
          <w:b/>
          <w:bCs/>
        </w:rPr>
        <w:t>Title of Report:</w:t>
      </w:r>
      <w:r w:rsidR="00060DAF" w:rsidRPr="003720AD">
        <w:rPr>
          <w:rFonts w:cs="Arial"/>
          <w:b/>
          <w:bCs/>
        </w:rPr>
        <w:t xml:space="preserve"> </w:t>
      </w:r>
      <w:r w:rsidR="00AE5D3B" w:rsidRPr="003720AD">
        <w:rPr>
          <w:rFonts w:cs="Arial"/>
          <w:b/>
          <w:bCs/>
        </w:rPr>
        <w:t>Tenant</w:t>
      </w:r>
      <w:r w:rsidR="000034EC">
        <w:rPr>
          <w:rFonts w:cs="Arial"/>
          <w:b/>
          <w:bCs/>
        </w:rPr>
        <w:t xml:space="preserve"> Satisfaction</w:t>
      </w:r>
      <w:r w:rsidRPr="003720AD">
        <w:rPr>
          <w:rFonts w:cs="Arial"/>
          <w:b/>
          <w:bCs/>
        </w:rPr>
        <w:tab/>
      </w:r>
    </w:p>
    <w:p w:rsidR="00F4367A" w:rsidRPr="003720AD" w:rsidRDefault="00F4367A">
      <w:pPr>
        <w:rPr>
          <w:rFonts w:cs="Arial"/>
        </w:rPr>
      </w:pPr>
    </w:p>
    <w:p w:rsidR="00F4367A" w:rsidRPr="003720AD"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3720AD" w:rsidRDefault="00012F10">
      <w:pPr>
        <w:pStyle w:val="Heading1"/>
        <w:pBdr>
          <w:top w:val="single" w:sz="4" w:space="1" w:color="auto"/>
          <w:left w:val="single" w:sz="4" w:space="4" w:color="auto"/>
          <w:bottom w:val="single" w:sz="4" w:space="1" w:color="auto"/>
          <w:right w:val="single" w:sz="4" w:space="4" w:color="auto"/>
        </w:pBdr>
        <w:jc w:val="center"/>
        <w:rPr>
          <w:u w:val="single"/>
        </w:rPr>
      </w:pPr>
      <w:r w:rsidRPr="003720AD">
        <w:rPr>
          <w:u w:val="single"/>
        </w:rPr>
        <w:t>Summary</w:t>
      </w:r>
    </w:p>
    <w:p w:rsidR="00F4367A" w:rsidRPr="003720AD" w:rsidRDefault="00F4367A">
      <w:pPr>
        <w:pBdr>
          <w:top w:val="single" w:sz="4" w:space="1" w:color="auto"/>
          <w:left w:val="single" w:sz="4" w:space="4" w:color="auto"/>
          <w:bottom w:val="single" w:sz="4" w:space="1" w:color="auto"/>
          <w:right w:val="single" w:sz="4" w:space="4" w:color="auto"/>
        </w:pBdr>
        <w:rPr>
          <w:rFonts w:cs="Arial"/>
        </w:rPr>
      </w:pPr>
    </w:p>
    <w:p w:rsidR="00F36FFE" w:rsidRDefault="00F4367A">
      <w:pPr>
        <w:pBdr>
          <w:top w:val="single" w:sz="4" w:space="1" w:color="auto"/>
          <w:left w:val="single" w:sz="4" w:space="4" w:color="auto"/>
          <w:bottom w:val="single" w:sz="4" w:space="1" w:color="auto"/>
          <w:right w:val="single" w:sz="4" w:space="4" w:color="auto"/>
        </w:pBdr>
        <w:rPr>
          <w:rFonts w:cs="Arial"/>
        </w:rPr>
      </w:pPr>
      <w:r w:rsidRPr="003720AD">
        <w:rPr>
          <w:rFonts w:cs="Arial"/>
          <w:b/>
          <w:bCs/>
        </w:rPr>
        <w:t>Purpose of report</w:t>
      </w:r>
      <w:r w:rsidRPr="003720AD">
        <w:rPr>
          <w:rFonts w:cs="Arial"/>
        </w:rPr>
        <w:t xml:space="preserve">:  </w:t>
      </w:r>
      <w:r w:rsidR="00AE5D3B" w:rsidRPr="003720AD">
        <w:rPr>
          <w:rFonts w:cs="Arial"/>
        </w:rPr>
        <w:t xml:space="preserve">To </w:t>
      </w:r>
      <w:r w:rsidR="0051489F" w:rsidRPr="003720AD">
        <w:rPr>
          <w:rFonts w:cs="Arial"/>
        </w:rPr>
        <w:t>provide a</w:t>
      </w:r>
      <w:r w:rsidR="00836524" w:rsidRPr="003720AD">
        <w:rPr>
          <w:rFonts w:cs="Arial"/>
        </w:rPr>
        <w:t xml:space="preserve"> </w:t>
      </w:r>
      <w:r w:rsidR="0051489F" w:rsidRPr="003720AD">
        <w:rPr>
          <w:rFonts w:cs="Arial"/>
        </w:rPr>
        <w:t xml:space="preserve">briefing </w:t>
      </w:r>
      <w:r w:rsidR="00836524" w:rsidRPr="003720AD">
        <w:rPr>
          <w:rFonts w:cs="Arial"/>
        </w:rPr>
        <w:t>on</w:t>
      </w:r>
      <w:r w:rsidR="000034EC">
        <w:rPr>
          <w:rFonts w:cs="Arial"/>
        </w:rPr>
        <w:t xml:space="preserve"> tenant satisfaction and measures for improvement.</w:t>
      </w:r>
      <w:r w:rsidRPr="003720AD">
        <w:rPr>
          <w:rFonts w:cs="Arial"/>
        </w:rPr>
        <w:tab/>
      </w:r>
    </w:p>
    <w:p w:rsidR="00F4367A" w:rsidRPr="003720AD" w:rsidRDefault="00F4367A">
      <w:pPr>
        <w:pBdr>
          <w:top w:val="single" w:sz="4" w:space="1" w:color="auto"/>
          <w:left w:val="single" w:sz="4" w:space="4" w:color="auto"/>
          <w:bottom w:val="single" w:sz="4" w:space="1" w:color="auto"/>
          <w:right w:val="single" w:sz="4" w:space="4" w:color="auto"/>
        </w:pBdr>
        <w:rPr>
          <w:rFonts w:cs="Arial"/>
        </w:rPr>
      </w:pPr>
      <w:r w:rsidRPr="003720AD">
        <w:rPr>
          <w:rFonts w:cs="Arial"/>
        </w:rPr>
        <w:tab/>
      </w:r>
      <w:r w:rsidRPr="003720AD">
        <w:rPr>
          <w:rFonts w:cs="Arial"/>
        </w:rPr>
        <w:tab/>
      </w:r>
      <w:r w:rsidRPr="003720AD">
        <w:rPr>
          <w:rFonts w:cs="Arial"/>
        </w:rPr>
        <w:tab/>
      </w:r>
      <w:r w:rsidRPr="003720AD">
        <w:rPr>
          <w:rFonts w:cs="Arial"/>
        </w:rPr>
        <w:tab/>
      </w:r>
      <w:r w:rsidRPr="003720AD">
        <w:rPr>
          <w:rFonts w:cs="Arial"/>
        </w:rPr>
        <w:tab/>
      </w:r>
      <w:r w:rsidRPr="003720AD">
        <w:rPr>
          <w:rFonts w:cs="Arial"/>
        </w:rPr>
        <w:tab/>
      </w:r>
      <w:r w:rsidRPr="003720AD">
        <w:rPr>
          <w:rFonts w:cs="Arial"/>
        </w:rPr>
        <w:tab/>
      </w:r>
      <w:r w:rsidRPr="003720AD">
        <w:rPr>
          <w:rFonts w:cs="Arial"/>
        </w:rPr>
        <w:tab/>
      </w:r>
    </w:p>
    <w:p w:rsidR="00F4367A" w:rsidRPr="003720AD"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sidRPr="003720AD">
        <w:rPr>
          <w:bCs w:val="0"/>
        </w:rPr>
        <w:t>Key decision</w:t>
      </w:r>
      <w:r w:rsidR="007022F2">
        <w:rPr>
          <w:bCs w:val="0"/>
        </w:rPr>
        <w:t>:</w:t>
      </w:r>
      <w:r w:rsidRPr="003720AD">
        <w:rPr>
          <w:bCs w:val="0"/>
        </w:rPr>
        <w:t xml:space="preserve"> </w:t>
      </w:r>
      <w:r w:rsidRPr="003720AD">
        <w:rPr>
          <w:b w:val="0"/>
          <w:bCs w:val="0"/>
        </w:rPr>
        <w:t>No</w:t>
      </w:r>
      <w:r w:rsidR="00F4367A" w:rsidRPr="003720AD">
        <w:rPr>
          <w:bCs w:val="0"/>
        </w:rPr>
        <w:t xml:space="preserve"> </w:t>
      </w:r>
    </w:p>
    <w:p w:rsidR="00F4367A" w:rsidRPr="003720AD" w:rsidRDefault="00F4367A">
      <w:pPr>
        <w:pBdr>
          <w:top w:val="single" w:sz="4" w:space="1" w:color="auto"/>
          <w:left w:val="single" w:sz="4" w:space="4" w:color="auto"/>
          <w:bottom w:val="single" w:sz="4" w:space="1" w:color="auto"/>
          <w:right w:val="single" w:sz="4" w:space="4" w:color="auto"/>
        </w:pBdr>
        <w:rPr>
          <w:rFonts w:cs="Arial"/>
        </w:rPr>
      </w:pPr>
    </w:p>
    <w:p w:rsidR="006473DE" w:rsidRPr="003720AD" w:rsidRDefault="00F4367A">
      <w:pPr>
        <w:pBdr>
          <w:top w:val="single" w:sz="4" w:space="1" w:color="auto"/>
          <w:left w:val="single" w:sz="4" w:space="4" w:color="auto"/>
          <w:bottom w:val="single" w:sz="4" w:space="1" w:color="auto"/>
          <w:right w:val="single" w:sz="4" w:space="4" w:color="auto"/>
        </w:pBdr>
        <w:rPr>
          <w:rFonts w:cs="Arial"/>
          <w:bCs/>
        </w:rPr>
      </w:pPr>
      <w:r w:rsidRPr="003720AD">
        <w:rPr>
          <w:rFonts w:cs="Arial"/>
          <w:b/>
          <w:bCs/>
        </w:rPr>
        <w:t xml:space="preserve">Executive lead member: </w:t>
      </w:r>
      <w:r w:rsidR="006473DE" w:rsidRPr="003720AD">
        <w:rPr>
          <w:rFonts w:cs="Arial"/>
          <w:bCs/>
        </w:rPr>
        <w:t xml:space="preserve">Councillor Mike Rowley </w:t>
      </w:r>
    </w:p>
    <w:p w:rsidR="00060DAF" w:rsidRPr="003720AD" w:rsidRDefault="00060DAF">
      <w:pPr>
        <w:pBdr>
          <w:top w:val="single" w:sz="4" w:space="1" w:color="auto"/>
          <w:left w:val="single" w:sz="4" w:space="4" w:color="auto"/>
          <w:bottom w:val="single" w:sz="4" w:space="1" w:color="auto"/>
          <w:right w:val="single" w:sz="4" w:space="4" w:color="auto"/>
        </w:pBdr>
        <w:rPr>
          <w:rFonts w:cs="Arial"/>
          <w:b/>
          <w:bCs/>
        </w:rPr>
      </w:pPr>
    </w:p>
    <w:p w:rsidR="006473DE" w:rsidRDefault="00060DAF">
      <w:pPr>
        <w:pBdr>
          <w:top w:val="single" w:sz="4" w:space="1" w:color="auto"/>
          <w:left w:val="single" w:sz="4" w:space="4" w:color="auto"/>
          <w:bottom w:val="single" w:sz="4" w:space="1" w:color="auto"/>
          <w:right w:val="single" w:sz="4" w:space="4" w:color="auto"/>
        </w:pBdr>
        <w:rPr>
          <w:rFonts w:cs="Arial"/>
          <w:bCs/>
        </w:rPr>
      </w:pPr>
      <w:r w:rsidRPr="003720AD">
        <w:rPr>
          <w:rFonts w:cs="Arial"/>
          <w:b/>
          <w:bCs/>
        </w:rPr>
        <w:t xml:space="preserve">Report author: </w:t>
      </w:r>
      <w:r w:rsidR="000034EC">
        <w:rPr>
          <w:rFonts w:cs="Arial"/>
          <w:bCs/>
        </w:rPr>
        <w:t xml:space="preserve">Bill Graves, Landlord Services Manager </w:t>
      </w:r>
    </w:p>
    <w:p w:rsidR="000034EC" w:rsidRPr="003720AD" w:rsidRDefault="000034EC">
      <w:pPr>
        <w:pBdr>
          <w:top w:val="single" w:sz="4" w:space="1" w:color="auto"/>
          <w:left w:val="single" w:sz="4" w:space="4" w:color="auto"/>
          <w:bottom w:val="single" w:sz="4" w:space="1" w:color="auto"/>
          <w:right w:val="single" w:sz="4" w:space="4" w:color="auto"/>
        </w:pBdr>
        <w:rPr>
          <w:rFonts w:cs="Arial"/>
          <w:b/>
          <w:bCs/>
        </w:rPr>
      </w:pPr>
    </w:p>
    <w:p w:rsidR="00C81F96" w:rsidRDefault="006473DE">
      <w:pPr>
        <w:pBdr>
          <w:top w:val="single" w:sz="4" w:space="1" w:color="auto"/>
          <w:left w:val="single" w:sz="4" w:space="4" w:color="auto"/>
          <w:bottom w:val="single" w:sz="4" w:space="1" w:color="auto"/>
          <w:right w:val="single" w:sz="4" w:space="4" w:color="auto"/>
        </w:pBdr>
        <w:rPr>
          <w:rFonts w:cs="Arial"/>
          <w:b/>
          <w:bCs/>
        </w:rPr>
      </w:pPr>
      <w:r w:rsidRPr="003720AD">
        <w:rPr>
          <w:rFonts w:cs="Arial"/>
          <w:b/>
          <w:bCs/>
        </w:rPr>
        <w:t xml:space="preserve">Corporate Priorities: </w:t>
      </w:r>
    </w:p>
    <w:p w:rsidR="00C81F96" w:rsidRDefault="00802749" w:rsidP="00C81F96">
      <w:pPr>
        <w:pBdr>
          <w:top w:val="single" w:sz="4" w:space="1" w:color="auto"/>
          <w:left w:val="single" w:sz="4" w:space="4" w:color="auto"/>
          <w:bottom w:val="single" w:sz="4" w:space="1" w:color="auto"/>
          <w:right w:val="single" w:sz="4" w:space="4" w:color="auto"/>
        </w:pBdr>
        <w:ind w:firstLine="2552"/>
        <w:rPr>
          <w:rFonts w:cs="Arial"/>
          <w:bCs/>
        </w:rPr>
      </w:pPr>
      <w:r w:rsidRPr="003720AD">
        <w:rPr>
          <w:rFonts w:cs="Arial"/>
          <w:bCs/>
        </w:rPr>
        <w:t>Meeting Housing Need</w:t>
      </w:r>
    </w:p>
    <w:p w:rsidR="00C81F96" w:rsidRDefault="006473DE" w:rsidP="00C81F96">
      <w:pPr>
        <w:pBdr>
          <w:top w:val="single" w:sz="4" w:space="1" w:color="auto"/>
          <w:left w:val="single" w:sz="4" w:space="4" w:color="auto"/>
          <w:bottom w:val="single" w:sz="4" w:space="1" w:color="auto"/>
          <w:right w:val="single" w:sz="4" w:space="4" w:color="auto"/>
        </w:pBdr>
        <w:ind w:firstLine="2552"/>
        <w:rPr>
          <w:rFonts w:cs="Arial"/>
          <w:bCs/>
        </w:rPr>
      </w:pPr>
      <w:r w:rsidRPr="003720AD">
        <w:rPr>
          <w:rFonts w:cs="Arial"/>
          <w:bCs/>
        </w:rPr>
        <w:t xml:space="preserve">Strong and Active </w:t>
      </w:r>
      <w:r w:rsidR="0051489F" w:rsidRPr="003720AD">
        <w:rPr>
          <w:rFonts w:cs="Arial"/>
          <w:bCs/>
        </w:rPr>
        <w:t>C</w:t>
      </w:r>
      <w:r w:rsidRPr="003720AD">
        <w:rPr>
          <w:rFonts w:cs="Arial"/>
          <w:bCs/>
        </w:rPr>
        <w:t>ommunities</w:t>
      </w:r>
    </w:p>
    <w:p w:rsidR="004515B6" w:rsidRDefault="004515B6" w:rsidP="00C81F96">
      <w:pPr>
        <w:pBdr>
          <w:top w:val="single" w:sz="4" w:space="1" w:color="auto"/>
          <w:left w:val="single" w:sz="4" w:space="4" w:color="auto"/>
          <w:bottom w:val="single" w:sz="4" w:space="1" w:color="auto"/>
          <w:right w:val="single" w:sz="4" w:space="4" w:color="auto"/>
        </w:pBdr>
        <w:ind w:firstLine="2552"/>
        <w:rPr>
          <w:rFonts w:cs="Arial"/>
          <w:bCs/>
        </w:rPr>
      </w:pPr>
      <w:r>
        <w:rPr>
          <w:rFonts w:cs="Arial"/>
          <w:bCs/>
        </w:rPr>
        <w:t>A Clean and Green Oxford</w:t>
      </w:r>
    </w:p>
    <w:p w:rsidR="00060DAF" w:rsidRPr="003720AD" w:rsidRDefault="006473DE" w:rsidP="00C81F96">
      <w:pPr>
        <w:pBdr>
          <w:top w:val="single" w:sz="4" w:space="1" w:color="auto"/>
          <w:left w:val="single" w:sz="4" w:space="4" w:color="auto"/>
          <w:bottom w:val="single" w:sz="4" w:space="1" w:color="auto"/>
          <w:right w:val="single" w:sz="4" w:space="4" w:color="auto"/>
        </w:pBdr>
        <w:ind w:firstLine="2552"/>
        <w:rPr>
          <w:rFonts w:cs="Arial"/>
          <w:bCs/>
        </w:rPr>
      </w:pPr>
      <w:r w:rsidRPr="003720AD">
        <w:rPr>
          <w:rFonts w:cs="Arial"/>
          <w:bCs/>
        </w:rPr>
        <w:t xml:space="preserve">An </w:t>
      </w:r>
      <w:r w:rsidR="0051489F" w:rsidRPr="003720AD">
        <w:rPr>
          <w:rFonts w:cs="Arial"/>
          <w:bCs/>
        </w:rPr>
        <w:t>E</w:t>
      </w:r>
      <w:r w:rsidRPr="003720AD">
        <w:rPr>
          <w:rFonts w:cs="Arial"/>
          <w:bCs/>
        </w:rPr>
        <w:t xml:space="preserve">ffective and </w:t>
      </w:r>
      <w:r w:rsidR="0051489F" w:rsidRPr="003720AD">
        <w:rPr>
          <w:rFonts w:cs="Arial"/>
          <w:bCs/>
        </w:rPr>
        <w:t>E</w:t>
      </w:r>
      <w:r w:rsidRPr="003720AD">
        <w:rPr>
          <w:rFonts w:cs="Arial"/>
          <w:bCs/>
        </w:rPr>
        <w:t xml:space="preserve">fficient </w:t>
      </w:r>
      <w:r w:rsidR="0051489F" w:rsidRPr="003720AD">
        <w:rPr>
          <w:rFonts w:cs="Arial"/>
          <w:bCs/>
        </w:rPr>
        <w:t>C</w:t>
      </w:r>
      <w:r w:rsidRPr="003720AD">
        <w:rPr>
          <w:rFonts w:cs="Arial"/>
          <w:bCs/>
        </w:rPr>
        <w:t>ouncil</w:t>
      </w:r>
    </w:p>
    <w:p w:rsidR="00F4367A" w:rsidRPr="003720AD"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Pr="003720AD" w:rsidRDefault="00F4367A">
      <w:pPr>
        <w:rPr>
          <w:rFonts w:cs="Arial"/>
        </w:rPr>
      </w:pPr>
    </w:p>
    <w:p w:rsidR="00AE5D3B" w:rsidRPr="003720AD" w:rsidRDefault="00AE5D3B">
      <w:pPr>
        <w:rPr>
          <w:rFonts w:cs="Arial"/>
        </w:rPr>
      </w:pPr>
      <w:r w:rsidRPr="003720AD">
        <w:rPr>
          <w:rFonts w:eastAsia="Calibri" w:cs="Arial"/>
          <w:b/>
          <w:u w:val="single"/>
        </w:rPr>
        <w:t xml:space="preserve">List of </w:t>
      </w:r>
      <w:r w:rsidR="00713675" w:rsidRPr="003720AD">
        <w:rPr>
          <w:rFonts w:eastAsia="Calibri" w:cs="Arial"/>
          <w:b/>
          <w:u w:val="single"/>
        </w:rPr>
        <w:t>Appendices</w:t>
      </w:r>
      <w:r w:rsidR="00713675" w:rsidRPr="003720AD">
        <w:rPr>
          <w:rFonts w:cs="Arial"/>
        </w:rPr>
        <w:t xml:space="preserve"> </w:t>
      </w:r>
    </w:p>
    <w:p w:rsidR="00713675" w:rsidRPr="003720AD" w:rsidRDefault="00713675">
      <w:pPr>
        <w:rPr>
          <w:rFonts w:cs="Arial"/>
        </w:rPr>
      </w:pPr>
    </w:p>
    <w:p w:rsidR="00AE5D3B" w:rsidRPr="00522A6C" w:rsidRDefault="00522A6C" w:rsidP="00AE5D3B">
      <w:pPr>
        <w:rPr>
          <w:b/>
        </w:rPr>
      </w:pPr>
      <w:r w:rsidRPr="00522A6C">
        <w:rPr>
          <w:b/>
          <w:color w:val="000000"/>
        </w:rPr>
        <w:t xml:space="preserve">Appendix 1 – </w:t>
      </w:r>
      <w:r w:rsidR="00D828FB">
        <w:rPr>
          <w:b/>
          <w:color w:val="000000"/>
        </w:rPr>
        <w:t>Satisfaction Measured in Service Areas</w:t>
      </w:r>
    </w:p>
    <w:p w:rsidR="00C81F96" w:rsidRDefault="00522A6C" w:rsidP="00ED5B60">
      <w:pPr>
        <w:rPr>
          <w:b/>
          <w:color w:val="000000"/>
        </w:rPr>
      </w:pPr>
      <w:r w:rsidRPr="00522A6C">
        <w:rPr>
          <w:b/>
          <w:color w:val="000000"/>
        </w:rPr>
        <w:t>Appendix 2 –</w:t>
      </w:r>
      <w:r w:rsidR="00C81F96">
        <w:rPr>
          <w:b/>
          <w:color w:val="000000"/>
        </w:rPr>
        <w:t xml:space="preserve"> </w:t>
      </w:r>
      <w:r w:rsidR="00D828FB">
        <w:rPr>
          <w:b/>
          <w:color w:val="000000"/>
        </w:rPr>
        <w:t>Service Area Initiatives to Improve Customer Satisfaction</w:t>
      </w:r>
    </w:p>
    <w:p w:rsidR="00522A6C" w:rsidRPr="00522A6C" w:rsidRDefault="00522A6C" w:rsidP="00ED5B60">
      <w:pPr>
        <w:rPr>
          <w:b/>
        </w:rPr>
      </w:pPr>
      <w:r w:rsidRPr="00522A6C">
        <w:rPr>
          <w:b/>
          <w:color w:val="000000"/>
        </w:rPr>
        <w:t xml:space="preserve">Appendix 3 – </w:t>
      </w:r>
      <w:r w:rsidR="00D828FB">
        <w:rPr>
          <w:b/>
          <w:color w:val="000000"/>
        </w:rPr>
        <w:t xml:space="preserve">STAR Survey 2015 - Full Report </w:t>
      </w:r>
    </w:p>
    <w:p w:rsidR="00ED5B60" w:rsidRPr="00522A6C" w:rsidRDefault="00522A6C" w:rsidP="00ED5B60">
      <w:pPr>
        <w:rPr>
          <w:b/>
          <w:color w:val="000000"/>
        </w:rPr>
      </w:pPr>
      <w:r w:rsidRPr="00522A6C">
        <w:rPr>
          <w:b/>
          <w:color w:val="000000"/>
        </w:rPr>
        <w:t xml:space="preserve">Appendix 4 – </w:t>
      </w:r>
      <w:r w:rsidR="00D828FB">
        <w:rPr>
          <w:b/>
          <w:color w:val="000000"/>
        </w:rPr>
        <w:t>STAR Survey 2015 - Key Findings</w:t>
      </w:r>
    </w:p>
    <w:p w:rsidR="00522A6C" w:rsidRDefault="00522A6C" w:rsidP="00ED5B60">
      <w:pPr>
        <w:rPr>
          <w:color w:val="000000"/>
        </w:rPr>
      </w:pPr>
    </w:p>
    <w:p w:rsidR="00522A6C" w:rsidRPr="003720AD" w:rsidRDefault="00522A6C" w:rsidP="00ED5B60">
      <w:pPr>
        <w:rPr>
          <w:b/>
        </w:rPr>
      </w:pPr>
    </w:p>
    <w:p w:rsidR="00ED5B60" w:rsidRPr="003720AD" w:rsidRDefault="00ED5B60" w:rsidP="00AE5D3B">
      <w:pPr>
        <w:rPr>
          <w:b/>
        </w:rPr>
      </w:pPr>
    </w:p>
    <w:p w:rsidR="00EB2252" w:rsidRPr="003720AD" w:rsidRDefault="00802749" w:rsidP="00802749">
      <w:pPr>
        <w:rPr>
          <w:b/>
          <w:color w:val="000000"/>
          <w:u w:val="single"/>
        </w:rPr>
      </w:pPr>
      <w:bookmarkStart w:id="0" w:name="_GoBack"/>
      <w:bookmarkEnd w:id="0"/>
      <w:r w:rsidRPr="003720AD">
        <w:rPr>
          <w:rFonts w:cs="Arial"/>
        </w:rPr>
        <w:br w:type="page"/>
      </w:r>
      <w:r w:rsidR="00EB2252" w:rsidRPr="003720AD">
        <w:rPr>
          <w:b/>
          <w:color w:val="000000"/>
          <w:u w:val="single"/>
        </w:rPr>
        <w:lastRenderedPageBreak/>
        <w:t xml:space="preserve">Introduction </w:t>
      </w:r>
    </w:p>
    <w:p w:rsidR="00EB2252" w:rsidRPr="003720AD" w:rsidRDefault="00EB2252" w:rsidP="0073107B">
      <w:pPr>
        <w:pStyle w:val="ListParagraph"/>
        <w:ind w:left="0"/>
        <w:rPr>
          <w:b/>
        </w:rPr>
      </w:pPr>
    </w:p>
    <w:p w:rsidR="0077159C" w:rsidRDefault="00EB2252" w:rsidP="00EB2252">
      <w:pPr>
        <w:pStyle w:val="ListParagraph"/>
        <w:numPr>
          <w:ilvl w:val="0"/>
          <w:numId w:val="24"/>
        </w:numPr>
        <w:contextualSpacing/>
      </w:pPr>
      <w:r w:rsidRPr="003720AD">
        <w:t xml:space="preserve">This report </w:t>
      </w:r>
      <w:r w:rsidR="00802749" w:rsidRPr="003720AD">
        <w:t>provid</w:t>
      </w:r>
      <w:r w:rsidR="0077159C">
        <w:t>es a briefing to Members on satisfaction monitoring that is carried out by teams across the Council relating to the Council’s activities as a landlord.</w:t>
      </w:r>
    </w:p>
    <w:p w:rsidR="0077159C" w:rsidRDefault="0077159C" w:rsidP="0077159C">
      <w:pPr>
        <w:pStyle w:val="ListParagraph"/>
        <w:contextualSpacing/>
      </w:pPr>
    </w:p>
    <w:p w:rsidR="00802749" w:rsidRDefault="0077159C" w:rsidP="00802749">
      <w:pPr>
        <w:pStyle w:val="ListParagraph"/>
        <w:numPr>
          <w:ilvl w:val="0"/>
          <w:numId w:val="24"/>
        </w:numPr>
        <w:contextualSpacing/>
      </w:pPr>
      <w:r>
        <w:t xml:space="preserve">This report provides details of the 2015 STAR (Survey of Tenants and Residents) survey results. </w:t>
      </w:r>
    </w:p>
    <w:p w:rsidR="0077159C" w:rsidRPr="003720AD" w:rsidRDefault="0077159C" w:rsidP="0077159C">
      <w:pPr>
        <w:contextualSpacing/>
      </w:pPr>
    </w:p>
    <w:p w:rsidR="0077159C" w:rsidRDefault="00EB2252" w:rsidP="00365475">
      <w:pPr>
        <w:pStyle w:val="ListParagraph"/>
        <w:numPr>
          <w:ilvl w:val="0"/>
          <w:numId w:val="24"/>
        </w:numPr>
        <w:contextualSpacing/>
      </w:pPr>
      <w:r w:rsidRPr="003720AD">
        <w:t>Th</w:t>
      </w:r>
      <w:r w:rsidR="0077159C">
        <w:t xml:space="preserve">is report provides details of initiatives taking place across service areas to better understand what factors influence satisfaction and what service improvements need to be carried out to deliver improved satisfaction. </w:t>
      </w:r>
    </w:p>
    <w:p w:rsidR="00EB2252" w:rsidRPr="003720AD" w:rsidRDefault="00EB2252" w:rsidP="0073107B">
      <w:pPr>
        <w:pStyle w:val="ListParagraph"/>
        <w:ind w:left="0"/>
        <w:rPr>
          <w:b/>
          <w:color w:val="0070C0"/>
        </w:rPr>
      </w:pPr>
    </w:p>
    <w:p w:rsidR="00163374" w:rsidRPr="003720AD" w:rsidRDefault="00060DAF" w:rsidP="0073107B">
      <w:pPr>
        <w:pStyle w:val="ListParagraph"/>
        <w:ind w:left="0"/>
        <w:rPr>
          <w:i/>
          <w:color w:val="000000"/>
          <w:u w:val="single"/>
        </w:rPr>
      </w:pPr>
      <w:r w:rsidRPr="003720AD">
        <w:rPr>
          <w:b/>
          <w:color w:val="000000"/>
          <w:u w:val="single"/>
        </w:rPr>
        <w:t>Background</w:t>
      </w:r>
      <w:r w:rsidRPr="003720AD">
        <w:rPr>
          <w:i/>
          <w:color w:val="000000"/>
          <w:u w:val="single"/>
        </w:rPr>
        <w:t xml:space="preserve"> </w:t>
      </w:r>
    </w:p>
    <w:p w:rsidR="000340B8" w:rsidRPr="003720AD" w:rsidRDefault="000340B8" w:rsidP="0073107B">
      <w:pPr>
        <w:pStyle w:val="ListParagraph"/>
        <w:ind w:left="0"/>
        <w:rPr>
          <w:color w:val="000000"/>
        </w:rPr>
      </w:pPr>
    </w:p>
    <w:p w:rsidR="0077159C" w:rsidRDefault="0077159C" w:rsidP="00365475">
      <w:pPr>
        <w:pStyle w:val="ListParagraph"/>
        <w:numPr>
          <w:ilvl w:val="0"/>
          <w:numId w:val="24"/>
        </w:numPr>
        <w:rPr>
          <w:color w:val="000000"/>
        </w:rPr>
      </w:pPr>
      <w:r>
        <w:rPr>
          <w:color w:val="000000"/>
        </w:rPr>
        <w:t xml:space="preserve">Service areas across the Council provide services to the Council’s tenants in the capacity as Landlord. </w:t>
      </w:r>
    </w:p>
    <w:p w:rsidR="0077159C" w:rsidRDefault="0077159C" w:rsidP="00106859">
      <w:pPr>
        <w:pStyle w:val="ListParagraph"/>
        <w:rPr>
          <w:color w:val="000000"/>
        </w:rPr>
      </w:pPr>
    </w:p>
    <w:p w:rsidR="0077159C" w:rsidRDefault="0077159C" w:rsidP="00365475">
      <w:pPr>
        <w:pStyle w:val="ListParagraph"/>
        <w:numPr>
          <w:ilvl w:val="0"/>
          <w:numId w:val="24"/>
        </w:numPr>
        <w:rPr>
          <w:color w:val="000000"/>
        </w:rPr>
      </w:pPr>
      <w:r>
        <w:rPr>
          <w:color w:val="000000"/>
        </w:rPr>
        <w:t>These include:</w:t>
      </w:r>
    </w:p>
    <w:p w:rsidR="00106859" w:rsidRPr="00106859" w:rsidRDefault="00106859" w:rsidP="00106859">
      <w:pPr>
        <w:pStyle w:val="ListParagraph"/>
        <w:rPr>
          <w:color w:val="000000"/>
        </w:rPr>
      </w:pPr>
    </w:p>
    <w:tbl>
      <w:tblPr>
        <w:tblStyle w:val="TableGrid"/>
        <w:tblW w:w="0" w:type="auto"/>
        <w:tblInd w:w="959" w:type="dxa"/>
        <w:tblLook w:val="04A0" w:firstRow="1" w:lastRow="0" w:firstColumn="1" w:lastColumn="0" w:noHBand="0" w:noVBand="1"/>
      </w:tblPr>
      <w:tblGrid>
        <w:gridCol w:w="3302"/>
        <w:gridCol w:w="4261"/>
      </w:tblGrid>
      <w:tr w:rsidR="00106859" w:rsidTr="007A3947">
        <w:tc>
          <w:tcPr>
            <w:tcW w:w="3302" w:type="dxa"/>
          </w:tcPr>
          <w:p w:rsidR="00106859" w:rsidRPr="00106859" w:rsidRDefault="00ED7355" w:rsidP="00106859">
            <w:pPr>
              <w:rPr>
                <w:b/>
                <w:color w:val="000000"/>
              </w:rPr>
            </w:pPr>
            <w:r>
              <w:rPr>
                <w:b/>
                <w:color w:val="000000"/>
              </w:rPr>
              <w:t>Directorate</w:t>
            </w:r>
          </w:p>
        </w:tc>
        <w:tc>
          <w:tcPr>
            <w:tcW w:w="4261" w:type="dxa"/>
          </w:tcPr>
          <w:p w:rsidR="00106859" w:rsidRPr="00106859" w:rsidRDefault="00106859" w:rsidP="00106859">
            <w:pPr>
              <w:rPr>
                <w:b/>
                <w:color w:val="000000"/>
              </w:rPr>
            </w:pPr>
            <w:r w:rsidRPr="00106859">
              <w:rPr>
                <w:b/>
                <w:color w:val="000000"/>
              </w:rPr>
              <w:t>Services Provided</w:t>
            </w:r>
          </w:p>
        </w:tc>
      </w:tr>
      <w:tr w:rsidR="00106859" w:rsidTr="007A3947">
        <w:tc>
          <w:tcPr>
            <w:tcW w:w="3302" w:type="dxa"/>
          </w:tcPr>
          <w:p w:rsidR="00106859" w:rsidRDefault="00ED7355" w:rsidP="00106859">
            <w:pPr>
              <w:rPr>
                <w:color w:val="000000"/>
              </w:rPr>
            </w:pPr>
            <w:r>
              <w:rPr>
                <w:color w:val="000000"/>
              </w:rPr>
              <w:t>Regeneration &amp; Housing</w:t>
            </w:r>
          </w:p>
        </w:tc>
        <w:tc>
          <w:tcPr>
            <w:tcW w:w="4261" w:type="dxa"/>
          </w:tcPr>
          <w:p w:rsidR="00106859" w:rsidRDefault="00106859" w:rsidP="00106859">
            <w:pPr>
              <w:rPr>
                <w:color w:val="000000"/>
              </w:rPr>
            </w:pPr>
            <w:r>
              <w:rPr>
                <w:color w:val="000000"/>
              </w:rPr>
              <w:t>Tenancy Management</w:t>
            </w:r>
          </w:p>
          <w:p w:rsidR="00106859" w:rsidRDefault="00106859" w:rsidP="00106859">
            <w:pPr>
              <w:rPr>
                <w:color w:val="000000"/>
              </w:rPr>
            </w:pPr>
            <w:r>
              <w:rPr>
                <w:color w:val="000000"/>
              </w:rPr>
              <w:t>Tenancy Sustainment</w:t>
            </w:r>
          </w:p>
          <w:p w:rsidR="00E2689F" w:rsidRDefault="00E2689F" w:rsidP="00106859">
            <w:pPr>
              <w:rPr>
                <w:color w:val="000000"/>
              </w:rPr>
            </w:pPr>
            <w:r>
              <w:rPr>
                <w:color w:val="000000"/>
              </w:rPr>
              <w:t>Tenant Involvement</w:t>
            </w:r>
          </w:p>
          <w:p w:rsidR="00106859" w:rsidRDefault="00106859" w:rsidP="00106859">
            <w:pPr>
              <w:rPr>
                <w:color w:val="000000"/>
              </w:rPr>
            </w:pPr>
            <w:r>
              <w:rPr>
                <w:color w:val="000000"/>
              </w:rPr>
              <w:t xml:space="preserve">Housing Options </w:t>
            </w:r>
          </w:p>
          <w:p w:rsidR="00106859" w:rsidRDefault="00106859" w:rsidP="00106859">
            <w:pPr>
              <w:rPr>
                <w:color w:val="000000"/>
              </w:rPr>
            </w:pPr>
            <w:r>
              <w:rPr>
                <w:color w:val="000000"/>
              </w:rPr>
              <w:t>Planned Maintenance Programming</w:t>
            </w:r>
          </w:p>
          <w:p w:rsidR="00ED7355" w:rsidRDefault="00ED7355" w:rsidP="00106859">
            <w:pPr>
              <w:rPr>
                <w:color w:val="000000"/>
              </w:rPr>
            </w:pPr>
            <w:r>
              <w:rPr>
                <w:color w:val="000000"/>
              </w:rPr>
              <w:t>Regeneration</w:t>
            </w:r>
          </w:p>
          <w:p w:rsidR="00106859" w:rsidRDefault="00106859" w:rsidP="00106859">
            <w:pPr>
              <w:rPr>
                <w:color w:val="000000"/>
              </w:rPr>
            </w:pPr>
          </w:p>
        </w:tc>
      </w:tr>
      <w:tr w:rsidR="00106859" w:rsidTr="007A3947">
        <w:tc>
          <w:tcPr>
            <w:tcW w:w="3302" w:type="dxa"/>
          </w:tcPr>
          <w:p w:rsidR="00106859" w:rsidRDefault="00ED7355" w:rsidP="00106859">
            <w:pPr>
              <w:rPr>
                <w:color w:val="000000"/>
              </w:rPr>
            </w:pPr>
            <w:r w:rsidRPr="00ED7355">
              <w:rPr>
                <w:color w:val="000000"/>
              </w:rPr>
              <w:t>Organisational Development and Corporate Services</w:t>
            </w:r>
          </w:p>
        </w:tc>
        <w:tc>
          <w:tcPr>
            <w:tcW w:w="4261" w:type="dxa"/>
          </w:tcPr>
          <w:p w:rsidR="00ED7355" w:rsidRDefault="00ED7355" w:rsidP="00106859">
            <w:pPr>
              <w:rPr>
                <w:color w:val="000000"/>
              </w:rPr>
            </w:pPr>
            <w:r>
              <w:rPr>
                <w:color w:val="000000"/>
              </w:rPr>
              <w:t>Contact Centre</w:t>
            </w:r>
          </w:p>
          <w:p w:rsidR="00106859" w:rsidRDefault="00106859" w:rsidP="00106859">
            <w:pPr>
              <w:rPr>
                <w:color w:val="000000"/>
              </w:rPr>
            </w:pPr>
            <w:r>
              <w:rPr>
                <w:color w:val="000000"/>
              </w:rPr>
              <w:t>Rents</w:t>
            </w:r>
          </w:p>
          <w:p w:rsidR="00E2689F" w:rsidRDefault="00E2689F" w:rsidP="00106859">
            <w:pPr>
              <w:rPr>
                <w:color w:val="000000"/>
              </w:rPr>
            </w:pPr>
            <w:r>
              <w:rPr>
                <w:color w:val="000000"/>
              </w:rPr>
              <w:t>Rent &amp; Service Charge Setting</w:t>
            </w:r>
          </w:p>
          <w:p w:rsidR="00ED7355" w:rsidRDefault="00ED7355" w:rsidP="00106859">
            <w:pPr>
              <w:rPr>
                <w:color w:val="000000"/>
              </w:rPr>
            </w:pPr>
            <w:r>
              <w:rPr>
                <w:color w:val="000000"/>
              </w:rPr>
              <w:t>Welfare Reform</w:t>
            </w:r>
          </w:p>
          <w:p w:rsidR="00ED7355" w:rsidRDefault="00ED7355" w:rsidP="00106859">
            <w:pPr>
              <w:rPr>
                <w:color w:val="000000"/>
              </w:rPr>
            </w:pPr>
            <w:r>
              <w:rPr>
                <w:color w:val="000000"/>
              </w:rPr>
              <w:t>Housing Benefit</w:t>
            </w:r>
          </w:p>
          <w:p w:rsidR="00106859" w:rsidRDefault="007A3947" w:rsidP="00106859">
            <w:pPr>
              <w:rPr>
                <w:color w:val="000000"/>
              </w:rPr>
            </w:pPr>
            <w:r>
              <w:rPr>
                <w:color w:val="000000"/>
              </w:rPr>
              <w:t>Sundry Debt Collection</w:t>
            </w:r>
          </w:p>
          <w:p w:rsidR="007A3947" w:rsidRDefault="007A3947" w:rsidP="00106859">
            <w:pPr>
              <w:rPr>
                <w:color w:val="000000"/>
              </w:rPr>
            </w:pPr>
          </w:p>
        </w:tc>
      </w:tr>
      <w:tr w:rsidR="00106859" w:rsidTr="007A3947">
        <w:tc>
          <w:tcPr>
            <w:tcW w:w="3302" w:type="dxa"/>
          </w:tcPr>
          <w:p w:rsidR="00106859" w:rsidRDefault="00ED7355" w:rsidP="00106859">
            <w:pPr>
              <w:rPr>
                <w:color w:val="000000"/>
              </w:rPr>
            </w:pPr>
            <w:r>
              <w:rPr>
                <w:color w:val="000000"/>
              </w:rPr>
              <w:t>Community Services</w:t>
            </w:r>
          </w:p>
        </w:tc>
        <w:tc>
          <w:tcPr>
            <w:tcW w:w="4261" w:type="dxa"/>
          </w:tcPr>
          <w:p w:rsidR="00106859" w:rsidRDefault="00106859" w:rsidP="00106859">
            <w:pPr>
              <w:rPr>
                <w:color w:val="000000"/>
              </w:rPr>
            </w:pPr>
            <w:r>
              <w:rPr>
                <w:color w:val="000000"/>
              </w:rPr>
              <w:t>ASBIT</w:t>
            </w:r>
          </w:p>
          <w:p w:rsidR="00ED7355" w:rsidRDefault="00106859" w:rsidP="00ED7355">
            <w:pPr>
              <w:rPr>
                <w:color w:val="000000"/>
              </w:rPr>
            </w:pPr>
            <w:r>
              <w:rPr>
                <w:color w:val="000000"/>
              </w:rPr>
              <w:t>Community Response</w:t>
            </w:r>
            <w:r w:rsidR="00ED7355">
              <w:rPr>
                <w:color w:val="000000"/>
              </w:rPr>
              <w:t xml:space="preserve"> </w:t>
            </w:r>
          </w:p>
          <w:p w:rsidR="00ED7355" w:rsidRDefault="00ED7355" w:rsidP="00ED7355">
            <w:pPr>
              <w:rPr>
                <w:color w:val="000000"/>
              </w:rPr>
            </w:pPr>
            <w:r>
              <w:rPr>
                <w:color w:val="000000"/>
              </w:rPr>
              <w:t>Communities</w:t>
            </w:r>
          </w:p>
          <w:p w:rsidR="00ED7355" w:rsidRDefault="00ED7355" w:rsidP="00ED7355">
            <w:pPr>
              <w:rPr>
                <w:color w:val="000000"/>
              </w:rPr>
            </w:pPr>
            <w:r>
              <w:rPr>
                <w:color w:val="000000"/>
              </w:rPr>
              <w:t>Day to Day Repairs</w:t>
            </w:r>
          </w:p>
          <w:p w:rsidR="00ED7355" w:rsidRDefault="00ED7355" w:rsidP="00ED7355">
            <w:pPr>
              <w:rPr>
                <w:color w:val="000000"/>
              </w:rPr>
            </w:pPr>
            <w:r>
              <w:rPr>
                <w:color w:val="000000"/>
              </w:rPr>
              <w:t>Planned Maintenance</w:t>
            </w:r>
            <w:r w:rsidR="007F55E4">
              <w:rPr>
                <w:color w:val="000000"/>
              </w:rPr>
              <w:t xml:space="preserve"> Works</w:t>
            </w:r>
          </w:p>
          <w:p w:rsidR="00ED7355" w:rsidRDefault="00ED7355" w:rsidP="00ED7355">
            <w:pPr>
              <w:rPr>
                <w:color w:val="000000"/>
              </w:rPr>
            </w:pPr>
            <w:r>
              <w:rPr>
                <w:color w:val="000000"/>
              </w:rPr>
              <w:t>Streetscene</w:t>
            </w:r>
          </w:p>
          <w:p w:rsidR="00ED7355" w:rsidRDefault="00ED7355" w:rsidP="00ED7355">
            <w:pPr>
              <w:rPr>
                <w:color w:val="000000"/>
              </w:rPr>
            </w:pPr>
            <w:r>
              <w:rPr>
                <w:color w:val="000000"/>
              </w:rPr>
              <w:t>Estates Services</w:t>
            </w:r>
          </w:p>
          <w:p w:rsidR="00ED7355" w:rsidRDefault="00ED7355" w:rsidP="00ED7355">
            <w:pPr>
              <w:rPr>
                <w:color w:val="000000"/>
              </w:rPr>
            </w:pPr>
            <w:r>
              <w:rPr>
                <w:color w:val="000000"/>
              </w:rPr>
              <w:t>Grounds Maintenance</w:t>
            </w:r>
          </w:p>
          <w:p w:rsidR="007A3947" w:rsidRDefault="007A3947" w:rsidP="00ED7355">
            <w:pPr>
              <w:rPr>
                <w:color w:val="000000"/>
              </w:rPr>
            </w:pPr>
            <w:r>
              <w:rPr>
                <w:color w:val="000000"/>
              </w:rPr>
              <w:t>Refuse &amp; Recycling</w:t>
            </w:r>
          </w:p>
          <w:p w:rsidR="00106859" w:rsidRDefault="00106859" w:rsidP="00106859">
            <w:pPr>
              <w:rPr>
                <w:color w:val="000000"/>
              </w:rPr>
            </w:pPr>
          </w:p>
        </w:tc>
      </w:tr>
    </w:tbl>
    <w:p w:rsidR="00106859" w:rsidRDefault="00106859" w:rsidP="00106859">
      <w:pPr>
        <w:rPr>
          <w:color w:val="000000"/>
        </w:rPr>
      </w:pPr>
    </w:p>
    <w:p w:rsidR="00106859" w:rsidRDefault="00106859" w:rsidP="00106859">
      <w:pPr>
        <w:rPr>
          <w:color w:val="000000"/>
        </w:rPr>
      </w:pPr>
    </w:p>
    <w:p w:rsidR="00106859" w:rsidRPr="00106859" w:rsidRDefault="00106859" w:rsidP="00106859">
      <w:pPr>
        <w:rPr>
          <w:color w:val="000000"/>
        </w:rPr>
      </w:pPr>
    </w:p>
    <w:p w:rsidR="00811D20" w:rsidRDefault="007A3947" w:rsidP="00365475">
      <w:pPr>
        <w:pStyle w:val="ListParagraph"/>
        <w:numPr>
          <w:ilvl w:val="0"/>
          <w:numId w:val="24"/>
        </w:numPr>
        <w:rPr>
          <w:color w:val="000000"/>
        </w:rPr>
      </w:pPr>
      <w:r>
        <w:rPr>
          <w:color w:val="000000"/>
        </w:rPr>
        <w:t xml:space="preserve">The various teams employ a variety of methods for collecting satisfaction performance with their work. </w:t>
      </w:r>
    </w:p>
    <w:p w:rsidR="00A40EDB" w:rsidRDefault="00A40EDB" w:rsidP="00A40EDB">
      <w:pPr>
        <w:pStyle w:val="ListParagraph"/>
        <w:rPr>
          <w:color w:val="000000"/>
        </w:rPr>
      </w:pPr>
    </w:p>
    <w:p w:rsidR="0077159C" w:rsidRDefault="007A3947" w:rsidP="00365475">
      <w:pPr>
        <w:pStyle w:val="ListParagraph"/>
        <w:numPr>
          <w:ilvl w:val="0"/>
          <w:numId w:val="24"/>
        </w:numPr>
        <w:rPr>
          <w:color w:val="000000"/>
        </w:rPr>
      </w:pPr>
      <w:r>
        <w:rPr>
          <w:color w:val="000000"/>
        </w:rPr>
        <w:t xml:space="preserve">The methods and the most recent results are set out </w:t>
      </w:r>
      <w:r w:rsidR="00D54192">
        <w:rPr>
          <w:color w:val="000000"/>
        </w:rPr>
        <w:t>in Appendix 1 – Satisfaction Measured</w:t>
      </w:r>
      <w:r>
        <w:rPr>
          <w:color w:val="000000"/>
        </w:rPr>
        <w:t xml:space="preserve"> in Service Areas.</w:t>
      </w:r>
    </w:p>
    <w:p w:rsidR="00257363" w:rsidRPr="00257363" w:rsidRDefault="00257363" w:rsidP="00257363">
      <w:pPr>
        <w:rPr>
          <w:color w:val="000000"/>
        </w:rPr>
      </w:pPr>
    </w:p>
    <w:p w:rsidR="00257363" w:rsidRDefault="00257363" w:rsidP="00257363">
      <w:pPr>
        <w:pStyle w:val="ListParagraph"/>
        <w:numPr>
          <w:ilvl w:val="0"/>
          <w:numId w:val="24"/>
        </w:numPr>
        <w:rPr>
          <w:color w:val="000000"/>
        </w:rPr>
      </w:pPr>
      <w:r>
        <w:rPr>
          <w:color w:val="000000"/>
        </w:rPr>
        <w:t>The different service areas have developed a range of initiatives and measures specifically to understand and improve customer satisfaction. These initiatives and measures are set out in Appendix 2 – Service Area Initiatives to Improve Customer Satisfaction</w:t>
      </w:r>
    </w:p>
    <w:p w:rsidR="007A3947" w:rsidRDefault="007A3947" w:rsidP="00D8038E">
      <w:pPr>
        <w:pStyle w:val="ListParagraph"/>
        <w:rPr>
          <w:color w:val="000000"/>
        </w:rPr>
      </w:pPr>
    </w:p>
    <w:p w:rsidR="007A3947" w:rsidRDefault="00D8038E" w:rsidP="00D8038E">
      <w:pPr>
        <w:pStyle w:val="ListParagraph"/>
        <w:numPr>
          <w:ilvl w:val="0"/>
          <w:numId w:val="24"/>
        </w:numPr>
        <w:rPr>
          <w:color w:val="000000"/>
        </w:rPr>
      </w:pPr>
      <w:r w:rsidRPr="00D8038E">
        <w:rPr>
          <w:color w:val="000000"/>
        </w:rPr>
        <w:t xml:space="preserve">The STAR (Survey of Tenants and Residents) methodology was developed by the housing benchmarking </w:t>
      </w:r>
      <w:r w:rsidR="0006192D">
        <w:rPr>
          <w:color w:val="000000"/>
        </w:rPr>
        <w:t>group</w:t>
      </w:r>
      <w:r w:rsidRPr="00D8038E">
        <w:rPr>
          <w:color w:val="000000"/>
        </w:rPr>
        <w:t>, Housemark, to measure satisfaction across a range of landlord related activities in the housing sector. It also provides social housing landlords with an effective means of benchmarking satisfaction results</w:t>
      </w:r>
      <w:r>
        <w:rPr>
          <w:color w:val="000000"/>
        </w:rPr>
        <w:t>. Landlords generally undertake a STAR survey every 3-5 years. The Council has carried out a STAR survey each year since 2012.</w:t>
      </w:r>
    </w:p>
    <w:p w:rsidR="00811D20" w:rsidRPr="00811D20" w:rsidRDefault="00811D20" w:rsidP="00811D20">
      <w:pPr>
        <w:pStyle w:val="ListParagraph"/>
        <w:rPr>
          <w:color w:val="000000"/>
        </w:rPr>
      </w:pPr>
    </w:p>
    <w:p w:rsidR="00811D20" w:rsidRDefault="00811D20" w:rsidP="00D8038E">
      <w:pPr>
        <w:pStyle w:val="ListParagraph"/>
        <w:numPr>
          <w:ilvl w:val="0"/>
          <w:numId w:val="24"/>
        </w:numPr>
        <w:rPr>
          <w:color w:val="000000"/>
        </w:rPr>
      </w:pPr>
      <w:r>
        <w:rPr>
          <w:color w:val="000000"/>
        </w:rPr>
        <w:t>The STAR Survey Results fo</w:t>
      </w:r>
      <w:r w:rsidR="00257363">
        <w:rPr>
          <w:color w:val="000000"/>
        </w:rPr>
        <w:t>r 2015 are set out in Appendix 3</w:t>
      </w:r>
      <w:r>
        <w:rPr>
          <w:color w:val="000000"/>
        </w:rPr>
        <w:t xml:space="preserve"> – STAR Survey 2015</w:t>
      </w:r>
      <w:r w:rsidR="00D828FB">
        <w:rPr>
          <w:color w:val="000000"/>
        </w:rPr>
        <w:t xml:space="preserve"> – Full Report.</w:t>
      </w:r>
    </w:p>
    <w:p w:rsidR="00D828FB" w:rsidRPr="00D828FB" w:rsidRDefault="00D828FB" w:rsidP="00D828FB">
      <w:pPr>
        <w:pStyle w:val="ListParagraph"/>
        <w:rPr>
          <w:color w:val="000000"/>
        </w:rPr>
      </w:pPr>
    </w:p>
    <w:p w:rsidR="00D828FB" w:rsidRDefault="00D828FB" w:rsidP="00D8038E">
      <w:pPr>
        <w:pStyle w:val="ListParagraph"/>
        <w:numPr>
          <w:ilvl w:val="0"/>
          <w:numId w:val="24"/>
        </w:numPr>
        <w:rPr>
          <w:color w:val="000000"/>
        </w:rPr>
      </w:pPr>
      <w:r>
        <w:rPr>
          <w:color w:val="000000"/>
        </w:rPr>
        <w:t>The Key Findings of the STAR Survey are set out in Appendix 4 – STAR Survey 2015 – Key Findings.</w:t>
      </w:r>
    </w:p>
    <w:p w:rsidR="00426219" w:rsidRPr="00426219" w:rsidRDefault="00426219" w:rsidP="00426219">
      <w:pPr>
        <w:pStyle w:val="ListParagraph"/>
        <w:rPr>
          <w:color w:val="000000"/>
        </w:rPr>
      </w:pPr>
    </w:p>
    <w:p w:rsidR="00426219" w:rsidRPr="004515B6" w:rsidRDefault="00426219" w:rsidP="00426219">
      <w:pPr>
        <w:pStyle w:val="ListParagraph"/>
        <w:ind w:left="0"/>
        <w:rPr>
          <w:b/>
          <w:color w:val="000000"/>
          <w:u w:val="single"/>
        </w:rPr>
      </w:pPr>
      <w:r w:rsidRPr="004515B6">
        <w:rPr>
          <w:b/>
          <w:color w:val="000000"/>
          <w:u w:val="single"/>
        </w:rPr>
        <w:t>In-house Performance Measurement</w:t>
      </w:r>
    </w:p>
    <w:p w:rsidR="00426219" w:rsidRPr="006D2AB7" w:rsidRDefault="00426219" w:rsidP="00426219">
      <w:pPr>
        <w:rPr>
          <w:color w:val="000000"/>
        </w:rPr>
      </w:pPr>
    </w:p>
    <w:p w:rsidR="00426219" w:rsidRDefault="00426219" w:rsidP="00426219">
      <w:pPr>
        <w:pStyle w:val="ListParagraph"/>
        <w:numPr>
          <w:ilvl w:val="0"/>
          <w:numId w:val="24"/>
        </w:numPr>
        <w:rPr>
          <w:color w:val="000000"/>
        </w:rPr>
      </w:pPr>
      <w:r>
        <w:rPr>
          <w:color w:val="000000"/>
        </w:rPr>
        <w:t xml:space="preserve">Historically, measuring satisfaction in-house was generally carried out on key areas, such as day to day repairs. There are a number of methods available to collect satisfaction data in-house. </w:t>
      </w:r>
    </w:p>
    <w:p w:rsidR="00426219" w:rsidRDefault="00426219" w:rsidP="00426219">
      <w:pPr>
        <w:pStyle w:val="ListParagraph"/>
        <w:rPr>
          <w:color w:val="000000"/>
        </w:rPr>
      </w:pPr>
    </w:p>
    <w:p w:rsidR="00426219" w:rsidRDefault="00426219" w:rsidP="00426219">
      <w:pPr>
        <w:pStyle w:val="ListParagraph"/>
        <w:numPr>
          <w:ilvl w:val="0"/>
          <w:numId w:val="24"/>
        </w:numPr>
        <w:rPr>
          <w:color w:val="000000"/>
        </w:rPr>
      </w:pPr>
      <w:r>
        <w:rPr>
          <w:color w:val="000000"/>
        </w:rPr>
        <w:t xml:space="preserve">The </w:t>
      </w:r>
      <w:proofErr w:type="spellStart"/>
      <w:r>
        <w:rPr>
          <w:color w:val="000000"/>
        </w:rPr>
        <w:t>Gov</w:t>
      </w:r>
      <w:proofErr w:type="spellEnd"/>
      <w:r>
        <w:rPr>
          <w:color w:val="000000"/>
        </w:rPr>
        <w:t xml:space="preserve">-metric system is a simple electronic measurement used on the website and in Customer Service Centres but the information is not personalised. </w:t>
      </w:r>
    </w:p>
    <w:p w:rsidR="00426219" w:rsidRPr="002B4B4C" w:rsidRDefault="00426219" w:rsidP="00426219">
      <w:pPr>
        <w:pStyle w:val="ListParagraph"/>
        <w:rPr>
          <w:color w:val="000000"/>
        </w:rPr>
      </w:pPr>
    </w:p>
    <w:p w:rsidR="00426219" w:rsidRDefault="00426219" w:rsidP="00426219">
      <w:pPr>
        <w:pStyle w:val="ListParagraph"/>
        <w:numPr>
          <w:ilvl w:val="0"/>
          <w:numId w:val="24"/>
        </w:numPr>
        <w:rPr>
          <w:color w:val="000000"/>
        </w:rPr>
      </w:pPr>
      <w:r>
        <w:rPr>
          <w:color w:val="000000"/>
        </w:rPr>
        <w:t>Satisfaction forms are generally left with customers who have just had a service provided but are dependent on staff ensuring that they are given out. There is a risk that if staff are aware that the service was not up to normal standards or was overdue, that the forms may not be given out. In cases where service has not been carried out at all, e.g. missed appointments, no satisfaction forms would be given out. These issues can skew results towards more favourable satisfaction results.</w:t>
      </w:r>
      <w:r w:rsidRPr="00426219">
        <w:rPr>
          <w:color w:val="000000"/>
        </w:rPr>
        <w:t xml:space="preserve"> </w:t>
      </w:r>
    </w:p>
    <w:p w:rsidR="00146950" w:rsidRPr="00146950" w:rsidRDefault="00146950" w:rsidP="00146950">
      <w:pPr>
        <w:pStyle w:val="ListParagraph"/>
        <w:rPr>
          <w:color w:val="000000"/>
        </w:rPr>
      </w:pPr>
    </w:p>
    <w:p w:rsidR="00146950" w:rsidRPr="00426219" w:rsidRDefault="00146950" w:rsidP="00426219">
      <w:pPr>
        <w:pStyle w:val="ListParagraph"/>
        <w:numPr>
          <w:ilvl w:val="0"/>
          <w:numId w:val="24"/>
        </w:numPr>
        <w:rPr>
          <w:color w:val="000000"/>
        </w:rPr>
      </w:pPr>
      <w:r>
        <w:rPr>
          <w:color w:val="000000"/>
        </w:rPr>
        <w:t xml:space="preserve">Probably the most insightful part of the survey forms is provided when customers leave comments on their experience and what could be improved. </w:t>
      </w:r>
    </w:p>
    <w:p w:rsidR="00426219" w:rsidRPr="00426219" w:rsidRDefault="00426219" w:rsidP="00426219">
      <w:pPr>
        <w:rPr>
          <w:color w:val="000000"/>
        </w:rPr>
      </w:pPr>
    </w:p>
    <w:p w:rsidR="00426219" w:rsidRDefault="00426219" w:rsidP="00426219">
      <w:pPr>
        <w:pStyle w:val="ListParagraph"/>
        <w:numPr>
          <w:ilvl w:val="0"/>
          <w:numId w:val="24"/>
        </w:numPr>
        <w:rPr>
          <w:color w:val="000000"/>
        </w:rPr>
      </w:pPr>
      <w:r>
        <w:rPr>
          <w:color w:val="000000"/>
        </w:rPr>
        <w:t xml:space="preserve">The work being carried out by teams across the Council has in part been inspired by the STAR results from 2014 and driven further by the Customer Service Excellence accreditation which has focused teams on working more closely with customers, asking their views and measuring satisfaction levels at a very local level, using exit surveys and Appreciative Inquiries. </w:t>
      </w:r>
    </w:p>
    <w:p w:rsidR="00426219" w:rsidRPr="00426219" w:rsidRDefault="00426219" w:rsidP="00426219">
      <w:pPr>
        <w:pStyle w:val="ListParagraph"/>
        <w:rPr>
          <w:color w:val="000000"/>
        </w:rPr>
      </w:pPr>
    </w:p>
    <w:p w:rsidR="00426219" w:rsidRDefault="00426219" w:rsidP="00426219">
      <w:pPr>
        <w:pStyle w:val="ListParagraph"/>
        <w:numPr>
          <w:ilvl w:val="0"/>
          <w:numId w:val="24"/>
        </w:numPr>
        <w:rPr>
          <w:color w:val="000000"/>
        </w:rPr>
      </w:pPr>
      <w:r>
        <w:rPr>
          <w:color w:val="000000"/>
        </w:rPr>
        <w:lastRenderedPageBreak/>
        <w:t xml:space="preserve">In the case of Appreciative Inquiries, these can be extremely useful in finding out exactly what went well or not on the customer journey, enabling staff to make sometimes even minor changes that make a big difference. Understanding the views of recent service users and in particular, complainants, gives an entirely fresh perspective. </w:t>
      </w:r>
    </w:p>
    <w:p w:rsidR="00426219" w:rsidRPr="00426219" w:rsidRDefault="00426219" w:rsidP="00426219">
      <w:pPr>
        <w:pStyle w:val="ListParagraph"/>
        <w:rPr>
          <w:color w:val="000000"/>
        </w:rPr>
      </w:pPr>
    </w:p>
    <w:p w:rsidR="00426219" w:rsidRPr="006D2AB7" w:rsidRDefault="00426219" w:rsidP="00426219">
      <w:pPr>
        <w:pStyle w:val="ListParagraph"/>
        <w:numPr>
          <w:ilvl w:val="0"/>
          <w:numId w:val="24"/>
        </w:numPr>
        <w:rPr>
          <w:color w:val="000000"/>
        </w:rPr>
      </w:pPr>
      <w:r>
        <w:rPr>
          <w:color w:val="000000"/>
        </w:rPr>
        <w:t xml:space="preserve">The </w:t>
      </w:r>
      <w:r w:rsidR="00257363">
        <w:rPr>
          <w:color w:val="000000"/>
        </w:rPr>
        <w:t>various in-house measures in place to gather satisfaction data and improve customer experience, set out in Appendices 1 &amp; 2, demonstrate the great efforts being made across service areas.</w:t>
      </w:r>
    </w:p>
    <w:p w:rsidR="00D8038E" w:rsidRPr="00D8038E" w:rsidRDefault="00D8038E" w:rsidP="00D8038E">
      <w:pPr>
        <w:pStyle w:val="ListParagraph"/>
        <w:rPr>
          <w:color w:val="000000"/>
        </w:rPr>
      </w:pPr>
    </w:p>
    <w:p w:rsidR="00320B21" w:rsidRDefault="002D4242" w:rsidP="00320B21">
      <w:pPr>
        <w:pStyle w:val="ListParagraph"/>
        <w:ind w:left="0"/>
        <w:rPr>
          <w:b/>
          <w:color w:val="000000"/>
          <w:u w:val="single"/>
        </w:rPr>
      </w:pPr>
      <w:r>
        <w:rPr>
          <w:b/>
          <w:color w:val="000000"/>
          <w:u w:val="single"/>
        </w:rPr>
        <w:t>S</w:t>
      </w:r>
      <w:r w:rsidR="00426219">
        <w:rPr>
          <w:b/>
          <w:color w:val="000000"/>
          <w:u w:val="single"/>
        </w:rPr>
        <w:t>TAR Survey</w:t>
      </w:r>
      <w:r>
        <w:rPr>
          <w:b/>
          <w:color w:val="000000"/>
          <w:u w:val="single"/>
        </w:rPr>
        <w:t xml:space="preserve"> </w:t>
      </w:r>
      <w:r w:rsidR="00D8038E">
        <w:rPr>
          <w:b/>
          <w:color w:val="000000"/>
          <w:u w:val="single"/>
        </w:rPr>
        <w:t>Methodology</w:t>
      </w:r>
    </w:p>
    <w:p w:rsidR="00D8038E" w:rsidRPr="00D8038E" w:rsidRDefault="00D8038E" w:rsidP="00D8038E">
      <w:pPr>
        <w:pStyle w:val="ListParagraph"/>
        <w:rPr>
          <w:color w:val="000000"/>
        </w:rPr>
      </w:pPr>
    </w:p>
    <w:p w:rsidR="006D2AB7" w:rsidRDefault="006D2AB7" w:rsidP="00426219">
      <w:pPr>
        <w:pStyle w:val="ListParagraph"/>
        <w:numPr>
          <w:ilvl w:val="0"/>
          <w:numId w:val="24"/>
        </w:numPr>
        <w:rPr>
          <w:color w:val="000000"/>
        </w:rPr>
      </w:pPr>
      <w:r>
        <w:rPr>
          <w:color w:val="000000"/>
        </w:rPr>
        <w:t xml:space="preserve">The STAR survey involved BMG writing to 3,500 Council tenants, including a reminder and despite this, only 656 tenants responded, representing 19% of all tenants. Although this gives a </w:t>
      </w:r>
      <w:r w:rsidRPr="006D2AB7">
        <w:rPr>
          <w:color w:val="000000"/>
        </w:rPr>
        <w:t>maximum confidence interval of ±3.7% at the 95% confidence level</w:t>
      </w:r>
      <w:r>
        <w:rPr>
          <w:color w:val="000000"/>
        </w:rPr>
        <w:t xml:space="preserve">, the response rate is very low. BMG would generally expect to have received between 25% - 35% on a survey of this type. </w:t>
      </w:r>
    </w:p>
    <w:p w:rsidR="006D2AB7" w:rsidRDefault="006D2AB7" w:rsidP="006D2AB7">
      <w:pPr>
        <w:pStyle w:val="ListParagraph"/>
        <w:rPr>
          <w:color w:val="000000"/>
        </w:rPr>
      </w:pPr>
    </w:p>
    <w:p w:rsidR="006D2AB7" w:rsidRDefault="006D2AB7" w:rsidP="00426219">
      <w:pPr>
        <w:pStyle w:val="ListParagraph"/>
        <w:numPr>
          <w:ilvl w:val="0"/>
          <w:numId w:val="24"/>
        </w:numPr>
        <w:rPr>
          <w:color w:val="000000"/>
        </w:rPr>
      </w:pPr>
      <w:r>
        <w:rPr>
          <w:color w:val="000000"/>
        </w:rPr>
        <w:t xml:space="preserve">In common with other surveys, an incentive prize draw was provided but the numbers remain low. There may be an element of survey fatigue, as the Council has surveyed its tenants in this way in each of the last 3 years, it could be that the survey was longer than most people would want to spend time on, or a combination of each. </w:t>
      </w:r>
    </w:p>
    <w:p w:rsidR="006D2AB7" w:rsidRPr="006D2AB7" w:rsidRDefault="006D2AB7" w:rsidP="006D2AB7">
      <w:pPr>
        <w:pStyle w:val="ListParagraph"/>
        <w:rPr>
          <w:color w:val="000000"/>
        </w:rPr>
      </w:pPr>
    </w:p>
    <w:p w:rsidR="006D2AB7" w:rsidRDefault="006D2AB7" w:rsidP="00426219">
      <w:pPr>
        <w:pStyle w:val="ListParagraph"/>
        <w:numPr>
          <w:ilvl w:val="0"/>
          <w:numId w:val="24"/>
        </w:numPr>
        <w:rPr>
          <w:color w:val="000000"/>
        </w:rPr>
      </w:pPr>
      <w:r>
        <w:rPr>
          <w:color w:val="000000"/>
        </w:rPr>
        <w:t xml:space="preserve">Carrying out postal surveys is not the only method of obtaining STAR results but it is the most common. Other methods include door to door surveys and telephone surveys and although more expensive, they would still take a length of time to carry out. </w:t>
      </w:r>
    </w:p>
    <w:p w:rsidR="006D2AB7" w:rsidRPr="006D2AB7" w:rsidRDefault="006D2AB7" w:rsidP="006D2AB7">
      <w:pPr>
        <w:pStyle w:val="ListParagraph"/>
        <w:rPr>
          <w:color w:val="000000"/>
        </w:rPr>
      </w:pPr>
    </w:p>
    <w:p w:rsidR="006D2AB7" w:rsidRDefault="006D2AB7" w:rsidP="00426219">
      <w:pPr>
        <w:pStyle w:val="ListParagraph"/>
        <w:numPr>
          <w:ilvl w:val="0"/>
          <w:numId w:val="24"/>
        </w:numPr>
        <w:rPr>
          <w:color w:val="000000"/>
        </w:rPr>
      </w:pPr>
      <w:r>
        <w:rPr>
          <w:color w:val="000000"/>
        </w:rPr>
        <w:t>The STAR survey results enable comparison with Housemark’s national benchmarking facility. There are some issues with using Housemark data as the majority of contributors are Housing Associations, rather than Councils and the comparator data is always a year behind as it is not published</w:t>
      </w:r>
      <w:r w:rsidR="002D4242">
        <w:rPr>
          <w:color w:val="000000"/>
        </w:rPr>
        <w:t xml:space="preserve"> quickly. The 2015 results from Housemark are not yet available so comparators can only be made from 2014 results. </w:t>
      </w:r>
    </w:p>
    <w:p w:rsidR="002D4242" w:rsidRPr="002D4242" w:rsidRDefault="002D4242" w:rsidP="002D4242">
      <w:pPr>
        <w:pStyle w:val="ListParagraph"/>
        <w:rPr>
          <w:color w:val="000000"/>
        </w:rPr>
      </w:pPr>
    </w:p>
    <w:p w:rsidR="006D2AB7" w:rsidRDefault="002D4242" w:rsidP="00426219">
      <w:pPr>
        <w:pStyle w:val="ListParagraph"/>
        <w:numPr>
          <w:ilvl w:val="0"/>
          <w:numId w:val="24"/>
        </w:numPr>
        <w:rPr>
          <w:color w:val="000000"/>
        </w:rPr>
      </w:pPr>
      <w:r>
        <w:rPr>
          <w:color w:val="000000"/>
        </w:rPr>
        <w:t xml:space="preserve">STAR survey results are anonymous and the Council cannot see individual responses, so it is not able to contact tenants to undertake further work to understand satisfaction and dissatisfaction. </w:t>
      </w:r>
    </w:p>
    <w:p w:rsidR="00DD7990" w:rsidRPr="00DD7990" w:rsidRDefault="00DD7990" w:rsidP="00DD7990">
      <w:pPr>
        <w:pStyle w:val="ListParagraph"/>
        <w:rPr>
          <w:color w:val="000000"/>
        </w:rPr>
      </w:pPr>
    </w:p>
    <w:p w:rsidR="00DD7990" w:rsidRDefault="00DD7990" w:rsidP="00426219">
      <w:pPr>
        <w:pStyle w:val="ListParagraph"/>
        <w:numPr>
          <w:ilvl w:val="0"/>
          <w:numId w:val="24"/>
        </w:numPr>
        <w:rPr>
          <w:color w:val="000000"/>
        </w:rPr>
      </w:pPr>
      <w:r>
        <w:rPr>
          <w:color w:val="000000"/>
        </w:rPr>
        <w:t xml:space="preserve">With any type of large survey which covers a number of service areas and themes, there is a risk that a </w:t>
      </w:r>
      <w:proofErr w:type="gramStart"/>
      <w:r>
        <w:rPr>
          <w:color w:val="000000"/>
        </w:rPr>
        <w:t>dissatisfied</w:t>
      </w:r>
      <w:proofErr w:type="gramEnd"/>
      <w:r>
        <w:rPr>
          <w:color w:val="000000"/>
        </w:rPr>
        <w:t xml:space="preserve"> customer will be dissatisfied whatever the question because of one experience. </w:t>
      </w:r>
    </w:p>
    <w:p w:rsidR="00DD7990" w:rsidRPr="00DD7990" w:rsidRDefault="00DD7990" w:rsidP="00DD7990">
      <w:pPr>
        <w:pStyle w:val="ListParagraph"/>
        <w:rPr>
          <w:color w:val="000000"/>
        </w:rPr>
      </w:pPr>
    </w:p>
    <w:p w:rsidR="00DD7990" w:rsidRDefault="00DD7990" w:rsidP="00426219">
      <w:pPr>
        <w:pStyle w:val="ListParagraph"/>
        <w:numPr>
          <w:ilvl w:val="0"/>
          <w:numId w:val="24"/>
        </w:numPr>
        <w:rPr>
          <w:color w:val="000000"/>
        </w:rPr>
      </w:pPr>
      <w:r>
        <w:rPr>
          <w:color w:val="000000"/>
        </w:rPr>
        <w:t xml:space="preserve">External factors will also influence satisfaction, even if they have been implemented nationally and are not Council initiatives. This includes welfare reforms, such as the Spare Room Subsidy (Bedroom Tax) and the Benefit Cap which will undoubtedly have had an effect, particularly with value for money issues. </w:t>
      </w:r>
    </w:p>
    <w:p w:rsidR="00DD7990" w:rsidRPr="00DD7990" w:rsidRDefault="00DD7990" w:rsidP="00DD7990">
      <w:pPr>
        <w:pStyle w:val="ListParagraph"/>
        <w:rPr>
          <w:color w:val="000000"/>
        </w:rPr>
      </w:pPr>
    </w:p>
    <w:p w:rsidR="00DD7990" w:rsidRDefault="00DD7990" w:rsidP="00426219">
      <w:pPr>
        <w:pStyle w:val="ListParagraph"/>
        <w:numPr>
          <w:ilvl w:val="0"/>
          <w:numId w:val="24"/>
        </w:numPr>
        <w:rPr>
          <w:color w:val="000000"/>
        </w:rPr>
      </w:pPr>
      <w:r>
        <w:rPr>
          <w:color w:val="000000"/>
        </w:rPr>
        <w:lastRenderedPageBreak/>
        <w:t xml:space="preserve">Looking forward, the outlook for satisfaction levels in future years is bleak. The </w:t>
      </w:r>
      <w:r w:rsidR="00890B86">
        <w:rPr>
          <w:color w:val="000000"/>
        </w:rPr>
        <w:t xml:space="preserve">Housing &amp; Planning Act 2016 introduces some key pieces of legislation, which will undoubtedly impact on satisfaction, particularly the Rents for High Income Social Tenants (Pay to Stay) legislation where tenants’ rents will be increased towards market rents depending on the tenant household income. The end of lifetime tenancies and the introduction of flexible tenancies will also have an impact. </w:t>
      </w:r>
    </w:p>
    <w:p w:rsidR="00890B86" w:rsidRPr="00890B86" w:rsidRDefault="00890B86" w:rsidP="00890B86">
      <w:pPr>
        <w:pStyle w:val="ListParagraph"/>
        <w:rPr>
          <w:color w:val="000000"/>
        </w:rPr>
      </w:pPr>
    </w:p>
    <w:p w:rsidR="00890B86" w:rsidRDefault="00890B86" w:rsidP="00426219">
      <w:pPr>
        <w:pStyle w:val="ListParagraph"/>
        <w:numPr>
          <w:ilvl w:val="0"/>
          <w:numId w:val="24"/>
        </w:numPr>
        <w:rPr>
          <w:color w:val="000000"/>
        </w:rPr>
      </w:pPr>
      <w:r>
        <w:rPr>
          <w:color w:val="000000"/>
        </w:rPr>
        <w:t>Other more general political or economic issues may also be an influencing factor in the next few years and austerity measures that have been taken by other organisations that affect our tenants will also have had an effect on perceptions.</w:t>
      </w:r>
    </w:p>
    <w:p w:rsidR="00D8038E" w:rsidRDefault="00D8038E" w:rsidP="00D8038E">
      <w:pPr>
        <w:ind w:left="360"/>
        <w:rPr>
          <w:b/>
          <w:i/>
          <w:color w:val="000000"/>
        </w:rPr>
      </w:pPr>
    </w:p>
    <w:p w:rsidR="00D8038E" w:rsidRDefault="00257363" w:rsidP="00D8038E">
      <w:pPr>
        <w:pStyle w:val="ListParagraph"/>
        <w:ind w:left="0"/>
        <w:rPr>
          <w:b/>
          <w:color w:val="000000"/>
          <w:u w:val="single"/>
        </w:rPr>
      </w:pPr>
      <w:r>
        <w:rPr>
          <w:b/>
          <w:color w:val="000000"/>
          <w:u w:val="single"/>
        </w:rPr>
        <w:t xml:space="preserve">STAR Survey </w:t>
      </w:r>
      <w:r w:rsidR="00D8038E">
        <w:rPr>
          <w:b/>
          <w:color w:val="000000"/>
          <w:u w:val="single"/>
        </w:rPr>
        <w:t>Results</w:t>
      </w:r>
    </w:p>
    <w:p w:rsidR="00D8038E" w:rsidRPr="00257363" w:rsidRDefault="00D8038E" w:rsidP="00D8038E">
      <w:pPr>
        <w:pStyle w:val="ListParagraph"/>
        <w:ind w:left="0"/>
        <w:rPr>
          <w:color w:val="000000"/>
          <w:u w:val="single"/>
        </w:rPr>
      </w:pPr>
    </w:p>
    <w:p w:rsidR="00D8038E" w:rsidRDefault="00257363" w:rsidP="00426219">
      <w:pPr>
        <w:pStyle w:val="ListParagraph"/>
        <w:numPr>
          <w:ilvl w:val="0"/>
          <w:numId w:val="24"/>
        </w:numPr>
        <w:rPr>
          <w:color w:val="000000"/>
        </w:rPr>
      </w:pPr>
      <w:r>
        <w:rPr>
          <w:color w:val="000000"/>
        </w:rPr>
        <w:t xml:space="preserve">The key finding from the 2015 STAR survey is that </w:t>
      </w:r>
      <w:proofErr w:type="gramStart"/>
      <w:r>
        <w:rPr>
          <w:color w:val="000000"/>
        </w:rPr>
        <w:t>overall,</w:t>
      </w:r>
      <w:proofErr w:type="gramEnd"/>
      <w:r>
        <w:rPr>
          <w:color w:val="000000"/>
        </w:rPr>
        <w:t xml:space="preserve"> satisfaction is stable at 83%. Although this is a 1% drop from the 2014 survey, there is a confidence interval of ±3.7%. There was a drop of 1% overall satisfied but equally 1% less were dissatisfied. </w:t>
      </w:r>
    </w:p>
    <w:p w:rsidR="00E92E5C" w:rsidRDefault="00E92E5C" w:rsidP="00E92E5C">
      <w:pPr>
        <w:pStyle w:val="ListParagraph"/>
        <w:rPr>
          <w:color w:val="000000"/>
        </w:rPr>
      </w:pPr>
    </w:p>
    <w:p w:rsidR="00146950" w:rsidRDefault="00E92E5C" w:rsidP="00426219">
      <w:pPr>
        <w:pStyle w:val="ListParagraph"/>
        <w:numPr>
          <w:ilvl w:val="0"/>
          <w:numId w:val="24"/>
        </w:numPr>
        <w:rPr>
          <w:color w:val="000000"/>
        </w:rPr>
      </w:pPr>
      <w:r>
        <w:rPr>
          <w:color w:val="000000"/>
        </w:rPr>
        <w:t xml:space="preserve">The main areas of movement from the 2014 results are satisfaction with the value for money for service charges, which dropped from 68% to 62% and with satisfaction with the repairs and maintenance service, which dropped from 83% to 77%. </w:t>
      </w:r>
      <w:r w:rsidR="006709E8">
        <w:rPr>
          <w:color w:val="000000"/>
        </w:rPr>
        <w:t>Dissatisfaction with the Repairs and Maintenance Service is unchanged at 13%</w:t>
      </w:r>
    </w:p>
    <w:p w:rsidR="00E92E5C" w:rsidRPr="00E92E5C" w:rsidRDefault="00E92E5C" w:rsidP="00E92E5C">
      <w:pPr>
        <w:pStyle w:val="ListParagraph"/>
        <w:rPr>
          <w:color w:val="000000"/>
        </w:rPr>
      </w:pPr>
    </w:p>
    <w:p w:rsidR="00E92E5C" w:rsidRDefault="00E92E5C" w:rsidP="00426219">
      <w:pPr>
        <w:pStyle w:val="ListParagraph"/>
        <w:numPr>
          <w:ilvl w:val="0"/>
          <w:numId w:val="24"/>
        </w:numPr>
        <w:rPr>
          <w:color w:val="000000"/>
        </w:rPr>
      </w:pPr>
      <w:r>
        <w:rPr>
          <w:color w:val="000000"/>
        </w:rPr>
        <w:t>The two main priority areas for tenants are repairs and maintenance and the overall quality of their home.</w:t>
      </w:r>
    </w:p>
    <w:p w:rsidR="00E92E5C" w:rsidRPr="00E92E5C" w:rsidRDefault="00E92E5C" w:rsidP="00E92E5C">
      <w:pPr>
        <w:pStyle w:val="ListParagraph"/>
        <w:rPr>
          <w:color w:val="000000"/>
        </w:rPr>
      </w:pPr>
    </w:p>
    <w:p w:rsidR="00E92E5C" w:rsidRDefault="00E92E5C" w:rsidP="00E92E5C">
      <w:pPr>
        <w:pStyle w:val="ListParagraph"/>
        <w:numPr>
          <w:ilvl w:val="0"/>
          <w:numId w:val="24"/>
        </w:numPr>
        <w:rPr>
          <w:color w:val="000000"/>
        </w:rPr>
      </w:pPr>
      <w:r w:rsidRPr="00E92E5C">
        <w:rPr>
          <w:color w:val="000000"/>
        </w:rPr>
        <w:t xml:space="preserve">The two key drivers for overall satisfaction are </w:t>
      </w:r>
      <w:r w:rsidR="006709E8">
        <w:rPr>
          <w:color w:val="000000"/>
        </w:rPr>
        <w:t>“S</w:t>
      </w:r>
      <w:r w:rsidRPr="00E92E5C">
        <w:rPr>
          <w:color w:val="000000"/>
        </w:rPr>
        <w:t>atisfaction with the way the Council deals with repairs and maintenance</w:t>
      </w:r>
      <w:r w:rsidR="006709E8">
        <w:rPr>
          <w:color w:val="000000"/>
        </w:rPr>
        <w:t>”</w:t>
      </w:r>
      <w:r w:rsidRPr="00E92E5C">
        <w:rPr>
          <w:color w:val="000000"/>
        </w:rPr>
        <w:t xml:space="preserve"> and </w:t>
      </w:r>
      <w:r w:rsidR="006709E8">
        <w:rPr>
          <w:color w:val="000000"/>
        </w:rPr>
        <w:t>“S</w:t>
      </w:r>
      <w:r w:rsidRPr="00E92E5C">
        <w:rPr>
          <w:color w:val="000000"/>
        </w:rPr>
        <w:t>atisfaction that the Council listens to your views and acts on them</w:t>
      </w:r>
      <w:r w:rsidR="006709E8">
        <w:rPr>
          <w:color w:val="000000"/>
        </w:rPr>
        <w:t>”</w:t>
      </w:r>
      <w:r>
        <w:rPr>
          <w:color w:val="000000"/>
        </w:rPr>
        <w:t xml:space="preserve">. </w:t>
      </w:r>
    </w:p>
    <w:p w:rsidR="0017562B" w:rsidRPr="0017562B" w:rsidRDefault="0017562B" w:rsidP="0017562B">
      <w:pPr>
        <w:pStyle w:val="ListParagraph"/>
        <w:rPr>
          <w:color w:val="000000"/>
        </w:rPr>
      </w:pPr>
    </w:p>
    <w:p w:rsidR="0017562B" w:rsidRDefault="0017562B" w:rsidP="0017562B">
      <w:pPr>
        <w:pStyle w:val="ListParagraph"/>
        <w:numPr>
          <w:ilvl w:val="0"/>
          <w:numId w:val="24"/>
        </w:numPr>
        <w:rPr>
          <w:color w:val="000000"/>
        </w:rPr>
      </w:pPr>
      <w:r w:rsidRPr="0017562B">
        <w:rPr>
          <w:color w:val="000000"/>
        </w:rPr>
        <w:t>Satisfaction with most of the elements of the repairs process has remained stable or slightly increas</w:t>
      </w:r>
      <w:r>
        <w:rPr>
          <w:color w:val="000000"/>
        </w:rPr>
        <w:t>ed</w:t>
      </w:r>
      <w:r w:rsidRPr="0017562B">
        <w:rPr>
          <w:color w:val="000000"/>
        </w:rPr>
        <w:t xml:space="preserve">, with the lowest satisfaction rating given for </w:t>
      </w:r>
      <w:r>
        <w:rPr>
          <w:color w:val="000000"/>
        </w:rPr>
        <w:t>t</w:t>
      </w:r>
      <w:r w:rsidRPr="0017562B">
        <w:rPr>
          <w:color w:val="000000"/>
        </w:rPr>
        <w:t>he repair being done "right first time"</w:t>
      </w:r>
      <w:r>
        <w:rPr>
          <w:color w:val="000000"/>
        </w:rPr>
        <w:t xml:space="preserve"> (79</w:t>
      </w:r>
      <w:r w:rsidRPr="0017562B">
        <w:rPr>
          <w:color w:val="000000"/>
        </w:rPr>
        <w:t xml:space="preserve">%) and the </w:t>
      </w:r>
      <w:r>
        <w:rPr>
          <w:color w:val="000000"/>
        </w:rPr>
        <w:t>t</w:t>
      </w:r>
      <w:r w:rsidRPr="0017562B">
        <w:rPr>
          <w:color w:val="000000"/>
        </w:rPr>
        <w:t>ime taken before work started</w:t>
      </w:r>
      <w:r>
        <w:rPr>
          <w:color w:val="000000"/>
        </w:rPr>
        <w:t xml:space="preserve"> (76%), albeit both saw a 2% improvement from 2014.</w:t>
      </w:r>
    </w:p>
    <w:p w:rsidR="0017562B" w:rsidRPr="0017562B" w:rsidRDefault="0017562B" w:rsidP="0017562B">
      <w:pPr>
        <w:pStyle w:val="ListParagraph"/>
        <w:rPr>
          <w:color w:val="000000"/>
        </w:rPr>
      </w:pPr>
    </w:p>
    <w:p w:rsidR="0017562B" w:rsidRPr="0017562B" w:rsidRDefault="0017562B" w:rsidP="0017562B">
      <w:pPr>
        <w:pStyle w:val="ListParagraph"/>
        <w:numPr>
          <w:ilvl w:val="0"/>
          <w:numId w:val="24"/>
        </w:numPr>
        <w:rPr>
          <w:color w:val="000000"/>
        </w:rPr>
      </w:pPr>
      <w:r>
        <w:rPr>
          <w:color w:val="000000"/>
        </w:rPr>
        <w:t xml:space="preserve">The time taken for work to start </w:t>
      </w:r>
      <w:r w:rsidR="00DD7990">
        <w:rPr>
          <w:color w:val="000000"/>
        </w:rPr>
        <w:t>is thought to</w:t>
      </w:r>
      <w:r>
        <w:rPr>
          <w:color w:val="000000"/>
        </w:rPr>
        <w:t xml:space="preserve"> be</w:t>
      </w:r>
      <w:r w:rsidR="00DD7990">
        <w:rPr>
          <w:color w:val="000000"/>
        </w:rPr>
        <w:t xml:space="preserve"> low as a direct result of</w:t>
      </w:r>
      <w:r>
        <w:rPr>
          <w:color w:val="000000"/>
        </w:rPr>
        <w:t xml:space="preserve"> the work backlogs which occurred in 2014 and 2015, primarily caused by weather related repairs, in particular fencing and roof work</w:t>
      </w:r>
      <w:r w:rsidR="00DD7990">
        <w:rPr>
          <w:color w:val="000000"/>
        </w:rPr>
        <w:t>.</w:t>
      </w:r>
    </w:p>
    <w:p w:rsidR="00E92E5C" w:rsidRPr="00E92E5C" w:rsidRDefault="00E92E5C" w:rsidP="00E92E5C">
      <w:pPr>
        <w:pStyle w:val="ListParagraph"/>
        <w:rPr>
          <w:color w:val="000000"/>
        </w:rPr>
      </w:pPr>
    </w:p>
    <w:p w:rsidR="00E92E5C" w:rsidRDefault="00E92E5C" w:rsidP="00E92E5C">
      <w:pPr>
        <w:pStyle w:val="ListParagraph"/>
        <w:numPr>
          <w:ilvl w:val="0"/>
          <w:numId w:val="24"/>
        </w:numPr>
        <w:rPr>
          <w:color w:val="000000"/>
        </w:rPr>
      </w:pPr>
      <w:r>
        <w:rPr>
          <w:color w:val="000000"/>
        </w:rPr>
        <w:t>Despite repairs and maintenance being the main priority</w:t>
      </w:r>
      <w:r w:rsidR="0006192D">
        <w:rPr>
          <w:color w:val="000000"/>
        </w:rPr>
        <w:t>;</w:t>
      </w:r>
      <w:r>
        <w:rPr>
          <w:color w:val="000000"/>
        </w:rPr>
        <w:t xml:space="preserve"> being the overall key driver</w:t>
      </w:r>
      <w:r w:rsidR="0006192D">
        <w:rPr>
          <w:color w:val="000000"/>
        </w:rPr>
        <w:t>;</w:t>
      </w:r>
      <w:r w:rsidR="0017562B">
        <w:rPr>
          <w:color w:val="000000"/>
        </w:rPr>
        <w:t xml:space="preserve"> and </w:t>
      </w:r>
      <w:r w:rsidR="0006192D">
        <w:rPr>
          <w:color w:val="000000"/>
        </w:rPr>
        <w:t xml:space="preserve">with satisfaction with repairs and </w:t>
      </w:r>
      <w:r w:rsidR="0017562B">
        <w:rPr>
          <w:color w:val="000000"/>
        </w:rPr>
        <w:t>maintenance</w:t>
      </w:r>
      <w:r w:rsidR="00993FDC">
        <w:rPr>
          <w:color w:val="000000"/>
        </w:rPr>
        <w:t xml:space="preserve"> </w:t>
      </w:r>
      <w:r>
        <w:rPr>
          <w:color w:val="000000"/>
        </w:rPr>
        <w:t xml:space="preserve">dropping, overall </w:t>
      </w:r>
      <w:r w:rsidR="00993FDC">
        <w:rPr>
          <w:color w:val="000000"/>
        </w:rPr>
        <w:t>satisfaction remained stable when a fall may have been expected.</w:t>
      </w:r>
    </w:p>
    <w:p w:rsidR="00993FDC" w:rsidRPr="00993FDC" w:rsidRDefault="00993FDC" w:rsidP="00993FDC">
      <w:pPr>
        <w:pStyle w:val="ListParagraph"/>
        <w:rPr>
          <w:color w:val="000000"/>
        </w:rPr>
      </w:pPr>
    </w:p>
    <w:p w:rsidR="00993FDC" w:rsidRDefault="00993FDC" w:rsidP="00E92E5C">
      <w:pPr>
        <w:pStyle w:val="ListParagraph"/>
        <w:numPr>
          <w:ilvl w:val="0"/>
          <w:numId w:val="24"/>
        </w:numPr>
        <w:rPr>
          <w:color w:val="000000"/>
        </w:rPr>
      </w:pPr>
      <w:r>
        <w:rPr>
          <w:color w:val="000000"/>
        </w:rPr>
        <w:t xml:space="preserve">Overall satisfaction in different Council wards varies significantly. The most satisfied wards are </w:t>
      </w:r>
      <w:proofErr w:type="spellStart"/>
      <w:r>
        <w:rPr>
          <w:color w:val="000000"/>
        </w:rPr>
        <w:t>Headington</w:t>
      </w:r>
      <w:proofErr w:type="spellEnd"/>
      <w:r>
        <w:rPr>
          <w:color w:val="000000"/>
        </w:rPr>
        <w:t xml:space="preserve"> (97%), Churchill (89%) and Rose Hill &amp; </w:t>
      </w:r>
      <w:proofErr w:type="spellStart"/>
      <w:r>
        <w:rPr>
          <w:color w:val="000000"/>
        </w:rPr>
        <w:t>Iffley</w:t>
      </w:r>
      <w:proofErr w:type="spellEnd"/>
      <w:r>
        <w:rPr>
          <w:color w:val="000000"/>
        </w:rPr>
        <w:t xml:space="preserve"> (89%), whereas Blackbird Leys</w:t>
      </w:r>
      <w:r w:rsidR="006709E8">
        <w:rPr>
          <w:color w:val="000000"/>
        </w:rPr>
        <w:t xml:space="preserve"> (76%)</w:t>
      </w:r>
      <w:r>
        <w:rPr>
          <w:color w:val="000000"/>
        </w:rPr>
        <w:t xml:space="preserve">, </w:t>
      </w:r>
      <w:proofErr w:type="spellStart"/>
      <w:r w:rsidR="006709E8">
        <w:rPr>
          <w:color w:val="000000"/>
        </w:rPr>
        <w:t>Iffley</w:t>
      </w:r>
      <w:proofErr w:type="spellEnd"/>
      <w:r w:rsidR="006709E8">
        <w:rPr>
          <w:color w:val="000000"/>
        </w:rPr>
        <w:t xml:space="preserve"> Fields (75%) and Littlemore (75%) were least satisfied. </w:t>
      </w:r>
      <w:r>
        <w:rPr>
          <w:color w:val="000000"/>
        </w:rPr>
        <w:t xml:space="preserve"> </w:t>
      </w:r>
    </w:p>
    <w:p w:rsidR="00993FDC" w:rsidRPr="00993FDC" w:rsidRDefault="00993FDC" w:rsidP="00993FDC">
      <w:pPr>
        <w:pStyle w:val="ListParagraph"/>
        <w:rPr>
          <w:color w:val="000000"/>
        </w:rPr>
      </w:pPr>
    </w:p>
    <w:p w:rsidR="00993FDC" w:rsidRDefault="00993FDC" w:rsidP="00E92E5C">
      <w:pPr>
        <w:pStyle w:val="ListParagraph"/>
        <w:numPr>
          <w:ilvl w:val="0"/>
          <w:numId w:val="24"/>
        </w:numPr>
        <w:rPr>
          <w:color w:val="000000"/>
        </w:rPr>
      </w:pPr>
      <w:r>
        <w:rPr>
          <w:color w:val="000000"/>
        </w:rPr>
        <w:t xml:space="preserve">Perceptions of whether the estate has improved over the last year are generally positive, with 41% believing their estate has improved, compared to 19% who believe it has declined. The ward where most tenants believe the estate has improved is Barton and </w:t>
      </w:r>
      <w:proofErr w:type="spellStart"/>
      <w:r>
        <w:rPr>
          <w:color w:val="000000"/>
        </w:rPr>
        <w:t>Sandhills</w:t>
      </w:r>
      <w:proofErr w:type="spellEnd"/>
      <w:r>
        <w:rPr>
          <w:color w:val="000000"/>
        </w:rPr>
        <w:t xml:space="preserve"> (61%) with only 28% of Littlemore tenants thinking likewise.</w:t>
      </w:r>
    </w:p>
    <w:p w:rsidR="00522A6C" w:rsidRPr="004515B6" w:rsidRDefault="00522A6C" w:rsidP="004515B6">
      <w:pPr>
        <w:rPr>
          <w:b/>
          <w:i/>
          <w:color w:val="000000"/>
        </w:rPr>
      </w:pPr>
    </w:p>
    <w:p w:rsidR="00811D20" w:rsidRDefault="00811D20" w:rsidP="00811D20">
      <w:pPr>
        <w:pStyle w:val="ListParagraph"/>
        <w:ind w:left="0"/>
        <w:rPr>
          <w:b/>
          <w:color w:val="000000"/>
          <w:u w:val="single"/>
        </w:rPr>
      </w:pPr>
      <w:r>
        <w:rPr>
          <w:b/>
          <w:color w:val="000000"/>
          <w:u w:val="single"/>
        </w:rPr>
        <w:t>Summary</w:t>
      </w:r>
    </w:p>
    <w:p w:rsidR="00890B86" w:rsidRPr="00890B86" w:rsidRDefault="00890B86" w:rsidP="00890B86">
      <w:pPr>
        <w:pStyle w:val="ListParagraph"/>
        <w:rPr>
          <w:color w:val="000000"/>
        </w:rPr>
      </w:pPr>
    </w:p>
    <w:p w:rsidR="00890B86" w:rsidRDefault="00261CB4" w:rsidP="00890B86">
      <w:pPr>
        <w:pStyle w:val="ListParagraph"/>
        <w:numPr>
          <w:ilvl w:val="0"/>
          <w:numId w:val="24"/>
        </w:numPr>
        <w:rPr>
          <w:color w:val="000000"/>
        </w:rPr>
      </w:pPr>
      <w:r>
        <w:rPr>
          <w:color w:val="000000"/>
        </w:rPr>
        <w:t>Teams</w:t>
      </w:r>
      <w:r w:rsidR="00890B86">
        <w:rPr>
          <w:color w:val="000000"/>
        </w:rPr>
        <w:t xml:space="preserve"> across the Council have adopted a </w:t>
      </w:r>
      <w:r>
        <w:rPr>
          <w:color w:val="000000"/>
        </w:rPr>
        <w:t xml:space="preserve">large </w:t>
      </w:r>
      <w:r w:rsidR="00890B86">
        <w:rPr>
          <w:color w:val="000000"/>
        </w:rPr>
        <w:t>number of initiatives to involve tenants</w:t>
      </w:r>
      <w:r>
        <w:rPr>
          <w:color w:val="000000"/>
        </w:rPr>
        <w:t xml:space="preserve"> in redesigning services and improving the customer experience. The focus on smaller scale, service specific satisfaction surveys allows staff to work with tenants to understand what really matters.</w:t>
      </w:r>
    </w:p>
    <w:p w:rsidR="00261CB4" w:rsidRPr="00890B86" w:rsidRDefault="00261CB4" w:rsidP="00261CB4">
      <w:pPr>
        <w:pStyle w:val="ListParagraph"/>
        <w:rPr>
          <w:color w:val="000000"/>
        </w:rPr>
      </w:pPr>
    </w:p>
    <w:p w:rsidR="00261CB4" w:rsidRDefault="00261CB4" w:rsidP="00890B86">
      <w:pPr>
        <w:pStyle w:val="ListParagraph"/>
        <w:numPr>
          <w:ilvl w:val="0"/>
          <w:numId w:val="24"/>
        </w:numPr>
        <w:rPr>
          <w:color w:val="000000"/>
        </w:rPr>
      </w:pPr>
      <w:r>
        <w:rPr>
          <w:color w:val="000000"/>
        </w:rPr>
        <w:t xml:space="preserve">Although overall, the STAR survey results are stable, there has been a drop in satisfaction with repairs and maintenance and value for money with service charges. </w:t>
      </w:r>
    </w:p>
    <w:p w:rsidR="00261CB4" w:rsidRPr="00261CB4" w:rsidRDefault="00261CB4" w:rsidP="00261CB4">
      <w:pPr>
        <w:pStyle w:val="ListParagraph"/>
        <w:rPr>
          <w:color w:val="000000"/>
        </w:rPr>
      </w:pPr>
    </w:p>
    <w:p w:rsidR="003720AD" w:rsidRDefault="00261CB4" w:rsidP="00890B86">
      <w:pPr>
        <w:pStyle w:val="ListParagraph"/>
        <w:numPr>
          <w:ilvl w:val="0"/>
          <w:numId w:val="24"/>
        </w:numPr>
        <w:rPr>
          <w:color w:val="000000"/>
        </w:rPr>
      </w:pPr>
      <w:r>
        <w:rPr>
          <w:color w:val="000000"/>
        </w:rPr>
        <w:t xml:space="preserve">The extremely low rate of return would indicate that there may be an element of survey fatigue. Most landlords undertake STAR surveys every 3-5 years and by surveying three years in a row, this may have had an impact. </w:t>
      </w:r>
    </w:p>
    <w:p w:rsidR="00261CB4" w:rsidRPr="00261CB4" w:rsidRDefault="00261CB4" w:rsidP="00261CB4">
      <w:pPr>
        <w:pStyle w:val="ListParagraph"/>
        <w:rPr>
          <w:color w:val="000000"/>
        </w:rPr>
      </w:pPr>
    </w:p>
    <w:p w:rsidR="00261CB4" w:rsidRDefault="00261CB4" w:rsidP="00890B86">
      <w:pPr>
        <w:pStyle w:val="ListParagraph"/>
        <w:numPr>
          <w:ilvl w:val="0"/>
          <w:numId w:val="24"/>
        </w:numPr>
        <w:rPr>
          <w:color w:val="000000"/>
        </w:rPr>
      </w:pPr>
      <w:r>
        <w:rPr>
          <w:color w:val="000000"/>
        </w:rPr>
        <w:t xml:space="preserve">There are increasing external influences which </w:t>
      </w:r>
      <w:r w:rsidR="002070D8">
        <w:rPr>
          <w:color w:val="000000"/>
        </w:rPr>
        <w:t>will</w:t>
      </w:r>
      <w:r>
        <w:rPr>
          <w:color w:val="000000"/>
        </w:rPr>
        <w:t xml:space="preserve"> unduly and negatively affect satisfaction results, regardless of the Council’s performance. </w:t>
      </w:r>
      <w:r w:rsidR="002070D8">
        <w:rPr>
          <w:color w:val="000000"/>
        </w:rPr>
        <w:t>This will lead to local measurement of service specific satisfaction, involving tenants in service development, playing an even greater role in accurately measuring satisfaction in the future.</w:t>
      </w:r>
    </w:p>
    <w:p w:rsidR="007022F2" w:rsidRDefault="007022F2" w:rsidP="007022F2">
      <w:pPr>
        <w:pStyle w:val="ListParagraph"/>
        <w:ind w:left="0"/>
        <w:rPr>
          <w:color w:val="000000"/>
        </w:rPr>
      </w:pPr>
    </w:p>
    <w:p w:rsidR="007022F2" w:rsidRDefault="007022F2" w:rsidP="007022F2">
      <w:pPr>
        <w:pStyle w:val="ListParagraph"/>
        <w:ind w:left="0"/>
        <w:rPr>
          <w:color w:val="000000"/>
        </w:rPr>
      </w:pPr>
    </w:p>
    <w:p w:rsidR="00060DAF" w:rsidRPr="003720AD" w:rsidRDefault="00060DAF">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3720AD">
        <w:tc>
          <w:tcPr>
            <w:tcW w:w="8522" w:type="dxa"/>
          </w:tcPr>
          <w:p w:rsidR="007022F2" w:rsidRDefault="007022F2" w:rsidP="00855C66">
            <w:pPr>
              <w:tabs>
                <w:tab w:val="left" w:pos="720"/>
                <w:tab w:val="left" w:pos="1440"/>
                <w:tab w:val="left" w:pos="2160"/>
                <w:tab w:val="left" w:pos="2880"/>
              </w:tabs>
              <w:rPr>
                <w:b/>
                <w:bCs/>
              </w:rPr>
            </w:pPr>
          </w:p>
          <w:p w:rsidR="00713675" w:rsidRPr="003720AD" w:rsidRDefault="00713675" w:rsidP="00855C66">
            <w:pPr>
              <w:tabs>
                <w:tab w:val="left" w:pos="720"/>
                <w:tab w:val="left" w:pos="1440"/>
                <w:tab w:val="left" w:pos="2160"/>
                <w:tab w:val="left" w:pos="2880"/>
              </w:tabs>
            </w:pPr>
            <w:r w:rsidRPr="003720AD">
              <w:rPr>
                <w:b/>
                <w:bCs/>
              </w:rPr>
              <w:t>Name and contact details of author:-</w:t>
            </w:r>
          </w:p>
        </w:tc>
      </w:tr>
      <w:tr w:rsidR="00713675" w:rsidRPr="003720AD">
        <w:tc>
          <w:tcPr>
            <w:tcW w:w="8522" w:type="dxa"/>
          </w:tcPr>
          <w:p w:rsidR="00713675" w:rsidRPr="003720AD" w:rsidRDefault="00713675" w:rsidP="00855C66">
            <w:pPr>
              <w:tabs>
                <w:tab w:val="left" w:pos="720"/>
                <w:tab w:val="left" w:pos="1440"/>
                <w:tab w:val="left" w:pos="2160"/>
                <w:tab w:val="left" w:pos="2880"/>
              </w:tabs>
            </w:pPr>
          </w:p>
          <w:p w:rsidR="00713675" w:rsidRPr="003720AD" w:rsidRDefault="00713675" w:rsidP="00106859">
            <w:pPr>
              <w:tabs>
                <w:tab w:val="left" w:pos="720"/>
                <w:tab w:val="left" w:pos="1440"/>
                <w:tab w:val="left" w:pos="2160"/>
                <w:tab w:val="left" w:pos="2880"/>
              </w:tabs>
            </w:pPr>
            <w:r w:rsidRPr="003720AD">
              <w:t>Name</w:t>
            </w:r>
            <w:r w:rsidR="00522A6C">
              <w:t xml:space="preserve">: </w:t>
            </w:r>
            <w:r w:rsidR="00106859">
              <w:t>Bill Graves</w:t>
            </w:r>
          </w:p>
        </w:tc>
      </w:tr>
      <w:tr w:rsidR="00713675" w:rsidRPr="003720AD">
        <w:tc>
          <w:tcPr>
            <w:tcW w:w="8522" w:type="dxa"/>
          </w:tcPr>
          <w:p w:rsidR="00713675" w:rsidRPr="003720AD" w:rsidRDefault="00713675" w:rsidP="00106859">
            <w:pPr>
              <w:tabs>
                <w:tab w:val="left" w:pos="720"/>
                <w:tab w:val="left" w:pos="1440"/>
                <w:tab w:val="left" w:pos="2160"/>
                <w:tab w:val="left" w:pos="2880"/>
              </w:tabs>
            </w:pPr>
            <w:r w:rsidRPr="003720AD">
              <w:t>Job title</w:t>
            </w:r>
            <w:r w:rsidR="00522A6C">
              <w:t xml:space="preserve">: </w:t>
            </w:r>
            <w:r w:rsidR="00106859">
              <w:t>Landlord Services</w:t>
            </w:r>
            <w:r w:rsidR="00522A6C">
              <w:t xml:space="preserve"> Manager</w:t>
            </w:r>
          </w:p>
        </w:tc>
      </w:tr>
      <w:tr w:rsidR="00713675" w:rsidRPr="003720AD">
        <w:tc>
          <w:tcPr>
            <w:tcW w:w="8522" w:type="dxa"/>
          </w:tcPr>
          <w:p w:rsidR="00713675" w:rsidRPr="003720AD" w:rsidRDefault="00713675" w:rsidP="00855C66">
            <w:pPr>
              <w:tabs>
                <w:tab w:val="left" w:pos="720"/>
                <w:tab w:val="left" w:pos="1440"/>
                <w:tab w:val="left" w:pos="2160"/>
                <w:tab w:val="left" w:pos="2880"/>
              </w:tabs>
            </w:pPr>
            <w:r w:rsidRPr="003720AD">
              <w:t>Service Area / Department</w:t>
            </w:r>
            <w:r w:rsidR="00522A6C">
              <w:t>: Landlord Services, Housing &amp; Property Services</w:t>
            </w:r>
          </w:p>
        </w:tc>
      </w:tr>
      <w:tr w:rsidR="00713675" w:rsidRPr="003720AD">
        <w:tc>
          <w:tcPr>
            <w:tcW w:w="8522" w:type="dxa"/>
          </w:tcPr>
          <w:p w:rsidR="00E239B1" w:rsidRDefault="00522A6C" w:rsidP="00522A6C">
            <w:pPr>
              <w:tabs>
                <w:tab w:val="left" w:pos="720"/>
                <w:tab w:val="left" w:pos="1440"/>
                <w:tab w:val="left" w:pos="2160"/>
                <w:tab w:val="left" w:pos="2880"/>
              </w:tabs>
            </w:pPr>
            <w:r>
              <w:t>Tel:  01865 252</w:t>
            </w:r>
            <w:r w:rsidR="00106859">
              <w:t>428</w:t>
            </w:r>
            <w:r w:rsidR="00713675" w:rsidRPr="003720AD">
              <w:t xml:space="preserve"> e-mail:  </w:t>
            </w:r>
            <w:r w:rsidR="00106859" w:rsidRPr="00106859">
              <w:t>bgraves@oxford/</w:t>
            </w:r>
            <w:r w:rsidR="00106859">
              <w:t>.gov.uk</w:t>
            </w:r>
          </w:p>
          <w:p w:rsidR="00522A6C" w:rsidRPr="003720AD" w:rsidRDefault="00522A6C" w:rsidP="00522A6C">
            <w:pPr>
              <w:tabs>
                <w:tab w:val="left" w:pos="720"/>
                <w:tab w:val="left" w:pos="1440"/>
                <w:tab w:val="left" w:pos="2160"/>
                <w:tab w:val="left" w:pos="2880"/>
              </w:tabs>
              <w:rPr>
                <w:color w:val="0000FF"/>
                <w:u w:val="single"/>
              </w:rPr>
            </w:pPr>
          </w:p>
        </w:tc>
      </w:tr>
    </w:tbl>
    <w:p w:rsidR="00F4367A" w:rsidRPr="003720AD" w:rsidRDefault="00F4367A">
      <w:pPr>
        <w:rPr>
          <w:rFonts w:cs="Arial"/>
          <w:b/>
          <w:bCs/>
        </w:rPr>
      </w:pPr>
    </w:p>
    <w:p w:rsidR="00F4367A" w:rsidRPr="003720AD" w:rsidRDefault="00F4367A">
      <w:pPr>
        <w:rPr>
          <w:rFonts w:cs="Arial"/>
          <w:bCs/>
          <w:i/>
        </w:rPr>
      </w:pPr>
      <w:r w:rsidRPr="003720AD">
        <w:rPr>
          <w:rFonts w:cs="Arial"/>
          <w:b/>
          <w:bCs/>
        </w:rPr>
        <w:t xml:space="preserve">List of background papers: </w:t>
      </w:r>
      <w:r w:rsidR="007022F2" w:rsidRPr="007022F2">
        <w:rPr>
          <w:rFonts w:cs="Arial"/>
          <w:bCs/>
        </w:rPr>
        <w:t>None</w:t>
      </w:r>
    </w:p>
    <w:p w:rsidR="00623C2F" w:rsidRPr="003720AD" w:rsidRDefault="00623C2F">
      <w:pPr>
        <w:rPr>
          <w:rFonts w:cs="Arial"/>
          <w:bCs/>
          <w:i/>
        </w:rPr>
      </w:pPr>
    </w:p>
    <w:p w:rsidR="00F4367A" w:rsidRPr="003720AD" w:rsidRDefault="00F4367A">
      <w:pPr>
        <w:rPr>
          <w:b/>
          <w:bCs/>
        </w:rPr>
      </w:pPr>
      <w:r w:rsidRPr="003720AD">
        <w:rPr>
          <w:b/>
          <w:bCs/>
        </w:rPr>
        <w:t>Version number:</w:t>
      </w:r>
      <w:r w:rsidR="00890B86">
        <w:rPr>
          <w:b/>
          <w:bCs/>
        </w:rPr>
        <w:t xml:space="preserve"> </w:t>
      </w:r>
      <w:r w:rsidR="007022F2" w:rsidRPr="007022F2">
        <w:rPr>
          <w:bCs/>
        </w:rPr>
        <w:t>1</w:t>
      </w:r>
    </w:p>
    <w:sectPr w:rsidR="00F4367A" w:rsidRPr="003720AD" w:rsidSect="007022F2">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1A" w:rsidRDefault="00BF641A">
      <w:r>
        <w:separator/>
      </w:r>
    </w:p>
  </w:endnote>
  <w:endnote w:type="continuationSeparator" w:id="0">
    <w:p w:rsidR="00BF641A" w:rsidRDefault="00BF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1A" w:rsidRDefault="00BF641A">
      <w:r>
        <w:separator/>
      </w:r>
    </w:p>
  </w:footnote>
  <w:footnote w:type="continuationSeparator" w:id="0">
    <w:p w:rsidR="00BF641A" w:rsidRDefault="00BF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FD7"/>
    <w:multiLevelType w:val="hybridMultilevel"/>
    <w:tmpl w:val="9B0488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F93EE0"/>
    <w:multiLevelType w:val="hybridMultilevel"/>
    <w:tmpl w:val="947845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6E72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D6865"/>
    <w:multiLevelType w:val="hybridMultilevel"/>
    <w:tmpl w:val="666009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C47F25"/>
    <w:multiLevelType w:val="hybridMultilevel"/>
    <w:tmpl w:val="11DA15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EA6FC0"/>
    <w:multiLevelType w:val="hybridMultilevel"/>
    <w:tmpl w:val="D8F0EC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4A162A3"/>
    <w:multiLevelType w:val="hybridMultilevel"/>
    <w:tmpl w:val="ACDE69C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6EE33C3"/>
    <w:multiLevelType w:val="hybridMultilevel"/>
    <w:tmpl w:val="F064AD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E70C07"/>
    <w:multiLevelType w:val="hybridMultilevel"/>
    <w:tmpl w:val="6C243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16D19"/>
    <w:multiLevelType w:val="hybridMultilevel"/>
    <w:tmpl w:val="71765506"/>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35C9230A"/>
    <w:multiLevelType w:val="hybridMultilevel"/>
    <w:tmpl w:val="BDD62B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C39BD"/>
    <w:multiLevelType w:val="hybridMultilevel"/>
    <w:tmpl w:val="AF7CCA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8825E8"/>
    <w:multiLevelType w:val="hybridMultilevel"/>
    <w:tmpl w:val="0798A7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9E7226"/>
    <w:multiLevelType w:val="hybridMultilevel"/>
    <w:tmpl w:val="C562C57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073477A"/>
    <w:multiLevelType w:val="hybridMultilevel"/>
    <w:tmpl w:val="A254E9E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41D96123"/>
    <w:multiLevelType w:val="hybridMultilevel"/>
    <w:tmpl w:val="7876B3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C236D1"/>
    <w:multiLevelType w:val="hybridMultilevel"/>
    <w:tmpl w:val="51A8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A265834"/>
    <w:multiLevelType w:val="hybridMultilevel"/>
    <w:tmpl w:val="05FE29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67065D"/>
    <w:multiLevelType w:val="hybridMultilevel"/>
    <w:tmpl w:val="CEA885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E8445C"/>
    <w:multiLevelType w:val="hybridMultilevel"/>
    <w:tmpl w:val="5A5E53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9A62E6"/>
    <w:multiLevelType w:val="hybridMultilevel"/>
    <w:tmpl w:val="C8B0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8665AA"/>
    <w:multiLevelType w:val="hybridMultilevel"/>
    <w:tmpl w:val="6C243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42F1A"/>
    <w:multiLevelType w:val="hybridMultilevel"/>
    <w:tmpl w:val="789800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2E070A6"/>
    <w:multiLevelType w:val="hybridMultilevel"/>
    <w:tmpl w:val="8144A2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6618D2"/>
    <w:multiLevelType w:val="hybridMultilevel"/>
    <w:tmpl w:val="B9E0515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7A7320F"/>
    <w:multiLevelType w:val="hybridMultilevel"/>
    <w:tmpl w:val="2AB49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AF8720F"/>
    <w:multiLevelType w:val="multilevel"/>
    <w:tmpl w:val="F1C2335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B16745B"/>
    <w:multiLevelType w:val="hybridMultilevel"/>
    <w:tmpl w:val="4872B0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FF62D7"/>
    <w:multiLevelType w:val="hybridMultilevel"/>
    <w:tmpl w:val="1CEE5D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0F5A2E"/>
    <w:multiLevelType w:val="hybridMultilevel"/>
    <w:tmpl w:val="F5846E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AD4582"/>
    <w:multiLevelType w:val="hybridMultilevel"/>
    <w:tmpl w:val="AD18048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E6D2485"/>
    <w:multiLevelType w:val="hybridMultilevel"/>
    <w:tmpl w:val="6930BE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CE0ABC"/>
    <w:multiLevelType w:val="hybridMultilevel"/>
    <w:tmpl w:val="FF2C0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4C736D"/>
    <w:multiLevelType w:val="hybridMultilevel"/>
    <w:tmpl w:val="F35A8A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56F71CA"/>
    <w:multiLevelType w:val="hybridMultilevel"/>
    <w:tmpl w:val="667E8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B9728FD"/>
    <w:multiLevelType w:val="hybridMultilevel"/>
    <w:tmpl w:val="7C820C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5879C3"/>
    <w:multiLevelType w:val="hybridMultilevel"/>
    <w:tmpl w:val="18A83A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D823C59"/>
    <w:multiLevelType w:val="hybridMultilevel"/>
    <w:tmpl w:val="B1BAC5A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36"/>
  </w:num>
  <w:num w:numId="4">
    <w:abstractNumId w:val="22"/>
  </w:num>
  <w:num w:numId="5">
    <w:abstractNumId w:val="25"/>
  </w:num>
  <w:num w:numId="6">
    <w:abstractNumId w:val="24"/>
  </w:num>
  <w:num w:numId="7">
    <w:abstractNumId w:val="29"/>
  </w:num>
  <w:num w:numId="8">
    <w:abstractNumId w:val="19"/>
  </w:num>
  <w:num w:numId="9">
    <w:abstractNumId w:val="32"/>
  </w:num>
  <w:num w:numId="10">
    <w:abstractNumId w:val="10"/>
  </w:num>
  <w:num w:numId="11">
    <w:abstractNumId w:val="11"/>
  </w:num>
  <w:num w:numId="12">
    <w:abstractNumId w:val="0"/>
  </w:num>
  <w:num w:numId="13">
    <w:abstractNumId w:val="37"/>
  </w:num>
  <w:num w:numId="14">
    <w:abstractNumId w:val="28"/>
  </w:num>
  <w:num w:numId="15">
    <w:abstractNumId w:val="7"/>
  </w:num>
  <w:num w:numId="16">
    <w:abstractNumId w:val="9"/>
  </w:num>
  <w:num w:numId="17">
    <w:abstractNumId w:val="15"/>
  </w:num>
  <w:num w:numId="18">
    <w:abstractNumId w:val="31"/>
  </w:num>
  <w:num w:numId="19">
    <w:abstractNumId w:val="13"/>
  </w:num>
  <w:num w:numId="20">
    <w:abstractNumId w:val="1"/>
  </w:num>
  <w:num w:numId="21">
    <w:abstractNumId w:val="14"/>
  </w:num>
  <w:num w:numId="22">
    <w:abstractNumId w:val="34"/>
  </w:num>
  <w:num w:numId="23">
    <w:abstractNumId w:val="6"/>
  </w:num>
  <w:num w:numId="24">
    <w:abstractNumId w:val="23"/>
  </w:num>
  <w:num w:numId="25">
    <w:abstractNumId w:val="26"/>
  </w:num>
  <w:num w:numId="26">
    <w:abstractNumId w:val="4"/>
  </w:num>
  <w:num w:numId="27">
    <w:abstractNumId w:val="35"/>
  </w:num>
  <w:num w:numId="28">
    <w:abstractNumId w:val="2"/>
  </w:num>
  <w:num w:numId="29">
    <w:abstractNumId w:val="21"/>
  </w:num>
  <w:num w:numId="30">
    <w:abstractNumId w:val="8"/>
  </w:num>
  <w:num w:numId="31">
    <w:abstractNumId w:val="17"/>
  </w:num>
  <w:num w:numId="32">
    <w:abstractNumId w:val="16"/>
  </w:num>
  <w:num w:numId="33">
    <w:abstractNumId w:val="20"/>
  </w:num>
  <w:num w:numId="34">
    <w:abstractNumId w:val="30"/>
  </w:num>
  <w:num w:numId="35">
    <w:abstractNumId w:val="12"/>
  </w:num>
  <w:num w:numId="36">
    <w:abstractNumId w:val="33"/>
  </w:num>
  <w:num w:numId="37">
    <w:abstractNumId w:val="18"/>
  </w:num>
  <w:num w:numId="3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4EC"/>
    <w:rsid w:val="00012F10"/>
    <w:rsid w:val="00013F71"/>
    <w:rsid w:val="00026916"/>
    <w:rsid w:val="00033C79"/>
    <w:rsid w:val="000340B8"/>
    <w:rsid w:val="00042973"/>
    <w:rsid w:val="00052810"/>
    <w:rsid w:val="00056263"/>
    <w:rsid w:val="00056696"/>
    <w:rsid w:val="000600D7"/>
    <w:rsid w:val="00060DAF"/>
    <w:rsid w:val="0006192D"/>
    <w:rsid w:val="00074467"/>
    <w:rsid w:val="00074C5B"/>
    <w:rsid w:val="000C3928"/>
    <w:rsid w:val="00106859"/>
    <w:rsid w:val="0011548D"/>
    <w:rsid w:val="001234E4"/>
    <w:rsid w:val="00142474"/>
    <w:rsid w:val="00146950"/>
    <w:rsid w:val="00163374"/>
    <w:rsid w:val="0017562B"/>
    <w:rsid w:val="00175C23"/>
    <w:rsid w:val="00182C46"/>
    <w:rsid w:val="001A1475"/>
    <w:rsid w:val="001A539E"/>
    <w:rsid w:val="001F320A"/>
    <w:rsid w:val="002070D8"/>
    <w:rsid w:val="002302CE"/>
    <w:rsid w:val="00257363"/>
    <w:rsid w:val="00261CB4"/>
    <w:rsid w:val="0028506A"/>
    <w:rsid w:val="00291822"/>
    <w:rsid w:val="00292A4D"/>
    <w:rsid w:val="002B4B4C"/>
    <w:rsid w:val="002D4242"/>
    <w:rsid w:val="002E4FB1"/>
    <w:rsid w:val="00302E67"/>
    <w:rsid w:val="00320B21"/>
    <w:rsid w:val="00335FEA"/>
    <w:rsid w:val="00365475"/>
    <w:rsid w:val="00370516"/>
    <w:rsid w:val="003720AD"/>
    <w:rsid w:val="00376829"/>
    <w:rsid w:val="00381A44"/>
    <w:rsid w:val="0038380E"/>
    <w:rsid w:val="003C32E1"/>
    <w:rsid w:val="0041250E"/>
    <w:rsid w:val="00412687"/>
    <w:rsid w:val="00426219"/>
    <w:rsid w:val="00432949"/>
    <w:rsid w:val="004515B6"/>
    <w:rsid w:val="00465EAF"/>
    <w:rsid w:val="00484E9E"/>
    <w:rsid w:val="004B4407"/>
    <w:rsid w:val="004C3853"/>
    <w:rsid w:val="0051489F"/>
    <w:rsid w:val="00522A45"/>
    <w:rsid w:val="00522A6C"/>
    <w:rsid w:val="0052634D"/>
    <w:rsid w:val="00546E31"/>
    <w:rsid w:val="00550731"/>
    <w:rsid w:val="00557246"/>
    <w:rsid w:val="005626E1"/>
    <w:rsid w:val="00567CFA"/>
    <w:rsid w:val="00573474"/>
    <w:rsid w:val="005D77F9"/>
    <w:rsid w:val="00612CD4"/>
    <w:rsid w:val="00623C2F"/>
    <w:rsid w:val="006364A7"/>
    <w:rsid w:val="006379CD"/>
    <w:rsid w:val="006446DA"/>
    <w:rsid w:val="006473DE"/>
    <w:rsid w:val="006709E8"/>
    <w:rsid w:val="00690A02"/>
    <w:rsid w:val="006913B7"/>
    <w:rsid w:val="006A75AF"/>
    <w:rsid w:val="006B29CB"/>
    <w:rsid w:val="006C22BE"/>
    <w:rsid w:val="006D2AB7"/>
    <w:rsid w:val="006F416B"/>
    <w:rsid w:val="007022F2"/>
    <w:rsid w:val="00713675"/>
    <w:rsid w:val="00715986"/>
    <w:rsid w:val="00724308"/>
    <w:rsid w:val="0073107B"/>
    <w:rsid w:val="00746C7C"/>
    <w:rsid w:val="007534E5"/>
    <w:rsid w:val="00770A7D"/>
    <w:rsid w:val="0077159C"/>
    <w:rsid w:val="00793361"/>
    <w:rsid w:val="00793E29"/>
    <w:rsid w:val="007A2032"/>
    <w:rsid w:val="007A3947"/>
    <w:rsid w:val="007C03AD"/>
    <w:rsid w:val="007E63CB"/>
    <w:rsid w:val="007F55E4"/>
    <w:rsid w:val="00802749"/>
    <w:rsid w:val="00810623"/>
    <w:rsid w:val="00810C40"/>
    <w:rsid w:val="00811D20"/>
    <w:rsid w:val="00836524"/>
    <w:rsid w:val="00855C66"/>
    <w:rsid w:val="0086434B"/>
    <w:rsid w:val="00877236"/>
    <w:rsid w:val="00890B86"/>
    <w:rsid w:val="008A337C"/>
    <w:rsid w:val="008C1AD7"/>
    <w:rsid w:val="008D3DDB"/>
    <w:rsid w:val="009106DB"/>
    <w:rsid w:val="00963D84"/>
    <w:rsid w:val="009651B5"/>
    <w:rsid w:val="00971689"/>
    <w:rsid w:val="00973E90"/>
    <w:rsid w:val="00993FDC"/>
    <w:rsid w:val="009D53A2"/>
    <w:rsid w:val="009D550B"/>
    <w:rsid w:val="00A05FEB"/>
    <w:rsid w:val="00A12003"/>
    <w:rsid w:val="00A24D70"/>
    <w:rsid w:val="00A40EDB"/>
    <w:rsid w:val="00A533F3"/>
    <w:rsid w:val="00A709FD"/>
    <w:rsid w:val="00A8595F"/>
    <w:rsid w:val="00A92D8F"/>
    <w:rsid w:val="00AB0BB8"/>
    <w:rsid w:val="00AD3292"/>
    <w:rsid w:val="00AE5AB8"/>
    <w:rsid w:val="00AE5D3B"/>
    <w:rsid w:val="00AF5DA2"/>
    <w:rsid w:val="00B441BE"/>
    <w:rsid w:val="00BC14B4"/>
    <w:rsid w:val="00BD02C7"/>
    <w:rsid w:val="00BF641A"/>
    <w:rsid w:val="00C2692F"/>
    <w:rsid w:val="00C451FB"/>
    <w:rsid w:val="00C81F96"/>
    <w:rsid w:val="00C94AAF"/>
    <w:rsid w:val="00CB5931"/>
    <w:rsid w:val="00CC6334"/>
    <w:rsid w:val="00D138DC"/>
    <w:rsid w:val="00D223F1"/>
    <w:rsid w:val="00D35C6D"/>
    <w:rsid w:val="00D36FCE"/>
    <w:rsid w:val="00D45836"/>
    <w:rsid w:val="00D54192"/>
    <w:rsid w:val="00D54AEC"/>
    <w:rsid w:val="00D8038E"/>
    <w:rsid w:val="00D828FB"/>
    <w:rsid w:val="00DD7990"/>
    <w:rsid w:val="00E01F42"/>
    <w:rsid w:val="00E232E1"/>
    <w:rsid w:val="00E239B1"/>
    <w:rsid w:val="00E2689F"/>
    <w:rsid w:val="00E6423C"/>
    <w:rsid w:val="00E923CE"/>
    <w:rsid w:val="00E92E5C"/>
    <w:rsid w:val="00EA0DB1"/>
    <w:rsid w:val="00EB218E"/>
    <w:rsid w:val="00EB2252"/>
    <w:rsid w:val="00ED4C61"/>
    <w:rsid w:val="00ED5B60"/>
    <w:rsid w:val="00ED7355"/>
    <w:rsid w:val="00F111EA"/>
    <w:rsid w:val="00F11731"/>
    <w:rsid w:val="00F36FFE"/>
    <w:rsid w:val="00F40E00"/>
    <w:rsid w:val="00F4367A"/>
    <w:rsid w:val="00F46A8F"/>
    <w:rsid w:val="00F56B5A"/>
    <w:rsid w:val="00F75D23"/>
    <w:rsid w:val="00F7606D"/>
    <w:rsid w:val="00FA624C"/>
    <w:rsid w:val="00FD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3107B"/>
    <w:pPr>
      <w:ind w:left="720"/>
    </w:pPr>
    <w:rPr>
      <w:rFonts w:eastAsia="Calibri" w:cs="Arial"/>
    </w:rPr>
  </w:style>
  <w:style w:type="table" w:styleId="TableGrid">
    <w:name w:val="Table Grid"/>
    <w:basedOn w:val="TableNormal"/>
    <w:rsid w:val="0010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A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3107B"/>
    <w:pPr>
      <w:ind w:left="720"/>
    </w:pPr>
    <w:rPr>
      <w:rFonts w:eastAsia="Calibri" w:cs="Arial"/>
    </w:rPr>
  </w:style>
  <w:style w:type="table" w:styleId="TableGrid">
    <w:name w:val="Table Grid"/>
    <w:basedOn w:val="TableNormal"/>
    <w:rsid w:val="0010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A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912">
      <w:bodyDiv w:val="1"/>
      <w:marLeft w:val="0"/>
      <w:marRight w:val="0"/>
      <w:marTop w:val="0"/>
      <w:marBottom w:val="0"/>
      <w:divBdr>
        <w:top w:val="none" w:sz="0" w:space="0" w:color="auto"/>
        <w:left w:val="none" w:sz="0" w:space="0" w:color="auto"/>
        <w:bottom w:val="none" w:sz="0" w:space="0" w:color="auto"/>
        <w:right w:val="none" w:sz="0" w:space="0" w:color="auto"/>
      </w:divBdr>
    </w:div>
    <w:div w:id="1398892129">
      <w:bodyDiv w:val="1"/>
      <w:marLeft w:val="0"/>
      <w:marRight w:val="0"/>
      <w:marTop w:val="0"/>
      <w:marBottom w:val="0"/>
      <w:divBdr>
        <w:top w:val="none" w:sz="0" w:space="0" w:color="auto"/>
        <w:left w:val="none" w:sz="0" w:space="0" w:color="auto"/>
        <w:bottom w:val="none" w:sz="0" w:space="0" w:color="auto"/>
        <w:right w:val="none" w:sz="0" w:space="0" w:color="auto"/>
      </w:divBdr>
    </w:div>
    <w:div w:id="1637637192">
      <w:bodyDiv w:val="1"/>
      <w:marLeft w:val="0"/>
      <w:marRight w:val="0"/>
      <w:marTop w:val="0"/>
      <w:marBottom w:val="0"/>
      <w:divBdr>
        <w:top w:val="none" w:sz="0" w:space="0" w:color="auto"/>
        <w:left w:val="none" w:sz="0" w:space="0" w:color="auto"/>
        <w:bottom w:val="none" w:sz="0" w:space="0" w:color="auto"/>
        <w:right w:val="none" w:sz="0" w:space="0" w:color="auto"/>
      </w:divBdr>
    </w:div>
    <w:div w:id="17901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E3C7-B46D-4E21-8A29-5D31F2A8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6</Pages>
  <Words>1778</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11343</CharactersWithSpaces>
  <SharedDoc>false</SharedDoc>
  <HLinks>
    <vt:vector size="6" baseType="variant">
      <vt:variant>
        <vt:i4>4390974</vt:i4>
      </vt:variant>
      <vt:variant>
        <vt:i4>0</vt:i4>
      </vt:variant>
      <vt:variant>
        <vt:i4>0</vt:i4>
      </vt:variant>
      <vt:variant>
        <vt:i4>5</vt:i4>
      </vt:variant>
      <vt:variant>
        <vt:lpwstr>mailto:swarde@oxford.gov.uk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14</cp:revision>
  <cp:lastPrinted>2010-10-15T09:32:00Z</cp:lastPrinted>
  <dcterms:created xsi:type="dcterms:W3CDTF">2016-06-13T09:46:00Z</dcterms:created>
  <dcterms:modified xsi:type="dcterms:W3CDTF">2016-06-28T10:21:00Z</dcterms:modified>
</cp:coreProperties>
</file>